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30536" w14:textId="77777777" w:rsidR="00FF3B71" w:rsidRPr="00E87067" w:rsidRDefault="00FF3B71" w:rsidP="00E87067"/>
    <w:p w14:paraId="214BDFD5" w14:textId="77777777" w:rsidR="00FF3B71" w:rsidRPr="00E87067" w:rsidRDefault="00FF3B71" w:rsidP="00E87067"/>
    <w:p w14:paraId="76D6A18D" w14:textId="77777777" w:rsidR="00FF3B71" w:rsidRPr="00E87067" w:rsidRDefault="00FF3B71" w:rsidP="00E87067"/>
    <w:p w14:paraId="2300A0C0" w14:textId="77777777" w:rsidR="00FF3B71" w:rsidRPr="00E87067" w:rsidRDefault="00FF3B71" w:rsidP="00E87067">
      <w:r w:rsidRPr="00E87067">
        <w:rPr>
          <w:noProof/>
        </w:rPr>
        <mc:AlternateContent>
          <mc:Choice Requires="wpg">
            <w:drawing>
              <wp:inline distT="0" distB="0" distL="0" distR="0" wp14:anchorId="426C04DB" wp14:editId="7D8EA35C">
                <wp:extent cx="5829300" cy="38100"/>
                <wp:effectExtent l="0" t="0" r="19050" b="0"/>
                <wp:docPr id="2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38100"/>
                          <a:chOff x="0" y="0"/>
                          <a:chExt cx="9180" cy="60"/>
                        </a:xfrm>
                      </wpg:grpSpPr>
                      <wps:wsp>
                        <wps:cNvPr id="22" name="Line 18"/>
                        <wps:cNvCnPr>
                          <a:cxnSpLocks noChangeShapeType="1"/>
                        </wps:cNvCnPr>
                        <wps:spPr bwMode="auto">
                          <a:xfrm>
                            <a:off x="0" y="30"/>
                            <a:ext cx="9180" cy="0"/>
                          </a:xfrm>
                          <a:prstGeom prst="line">
                            <a:avLst/>
                          </a:prstGeom>
                          <a:noFill/>
                          <a:ln w="38100">
                            <a:solidFill>
                              <a:srgbClr val="0070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A9A718D" id="Group 17" o:spid="_x0000_s1026" style="width:459pt;height:3pt;mso-position-horizontal-relative:char;mso-position-vertical-relative:line" coordsize="91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">
                <v:line id="Line 18" o:spid="_x0000_s1027" style="position:absolute;visibility:visible;mso-wrap-style:square" from="0,30" to="918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" strokecolor="#0070c0" strokeweight="3pt"/>
                <w10:anchorlock/>
              </v:group>
            </w:pict>
          </mc:Fallback>
        </mc:AlternateContent>
      </w:r>
    </w:p>
    <w:p w14:paraId="7526FBCE" w14:textId="77777777" w:rsidR="00FF3B71" w:rsidRPr="00E87067" w:rsidRDefault="00FF3B71" w:rsidP="00E87067"/>
    <w:p w14:paraId="284950E3" w14:textId="368A66B2" w:rsidR="00713E97" w:rsidRPr="007528C7" w:rsidRDefault="00FF3B71" w:rsidP="007528C7">
      <w:pPr>
        <w:pStyle w:val="Title"/>
        <w:rPr>
          <w:color w:val="03569B"/>
        </w:rPr>
      </w:pPr>
      <w:r w:rsidRPr="007528C7">
        <w:rPr>
          <w:color w:val="03569B"/>
        </w:rPr>
        <w:t xml:space="preserve">DMID Guidelines for Clinical </w:t>
      </w:r>
      <w:r w:rsidR="009B3AA1" w:rsidRPr="007528C7">
        <w:rPr>
          <w:color w:val="03569B"/>
        </w:rPr>
        <w:t>Investigational</w:t>
      </w:r>
      <w:r w:rsidRPr="007528C7">
        <w:rPr>
          <w:color w:val="03569B"/>
        </w:rPr>
        <w:t xml:space="preserve"> Product Management</w:t>
      </w:r>
    </w:p>
    <w:p w14:paraId="739705CB" w14:textId="15788503" w:rsidR="00FF3B71" w:rsidRPr="007528C7" w:rsidRDefault="00E05257" w:rsidP="00E87067">
      <w:pPr>
        <w:rPr>
          <w:color w:val="0070C0"/>
          <w:sz w:val="36"/>
          <w:szCs w:val="36"/>
        </w:rPr>
      </w:pPr>
      <w:r w:rsidRPr="007528C7">
        <w:rPr>
          <w:color w:val="0070C0"/>
          <w:sz w:val="36"/>
          <w:szCs w:val="36"/>
        </w:rPr>
        <w:t>v2.0</w:t>
      </w:r>
      <w:r w:rsidR="006279CC" w:rsidRPr="007528C7">
        <w:rPr>
          <w:color w:val="0070C0"/>
          <w:sz w:val="36"/>
          <w:szCs w:val="36"/>
        </w:rPr>
        <w:t xml:space="preserve">, </w:t>
      </w:r>
      <w:r w:rsidR="00E76FAD">
        <w:rPr>
          <w:bCs/>
          <w:color w:val="0070C0"/>
          <w:sz w:val="36"/>
          <w:szCs w:val="36"/>
        </w:rPr>
        <w:t>25Feb</w:t>
      </w:r>
      <w:r w:rsidR="006279CC" w:rsidRPr="007528C7">
        <w:rPr>
          <w:bCs/>
          <w:color w:val="0070C0"/>
          <w:sz w:val="36"/>
          <w:szCs w:val="36"/>
        </w:rPr>
        <w:t>202</w:t>
      </w:r>
      <w:r w:rsidR="00E76FAD">
        <w:rPr>
          <w:bCs/>
          <w:color w:val="0070C0"/>
          <w:sz w:val="36"/>
          <w:szCs w:val="36"/>
        </w:rPr>
        <w:t>6</w:t>
      </w:r>
    </w:p>
    <w:p w14:paraId="1402FA5E" w14:textId="1615E5B4" w:rsidR="00FF3B71" w:rsidRPr="00E87067" w:rsidRDefault="00FF3B71" w:rsidP="00E87067">
      <w:r w:rsidRPr="00E87067">
        <w:rPr>
          <w:noProof/>
        </w:rPr>
        <mc:AlternateContent>
          <mc:Choice Requires="wps">
            <w:drawing>
              <wp:anchor distT="0" distB="0" distL="0" distR="0" simplePos="0" relativeHeight="251658240" behindDoc="1" locked="0" layoutInCell="1" allowOverlap="1" wp14:anchorId="235423AD" wp14:editId="708D16F3">
                <wp:simplePos x="0" y="0"/>
                <wp:positionH relativeFrom="margin">
                  <wp:align>left</wp:align>
                </wp:positionH>
                <wp:positionV relativeFrom="paragraph">
                  <wp:posOffset>299085</wp:posOffset>
                </wp:positionV>
                <wp:extent cx="5829300" cy="0"/>
                <wp:effectExtent l="0" t="19050" r="19050" b="19050"/>
                <wp:wrapTopAndBottom/>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38100">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7DEBA" id="Line 16" o:spid="_x0000_s1026" style="position:absolute;z-index:-2516582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23.55pt" to="459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" strokecolor="#0070c0" strokeweight="3pt">
                <w10:wrap type="topAndBottom" anchorx="margin"/>
              </v:line>
            </w:pict>
          </mc:Fallback>
        </mc:AlternateContent>
      </w:r>
    </w:p>
    <w:p w14:paraId="2766CA05" w14:textId="77777777" w:rsidR="00A332AF" w:rsidRPr="00E87067" w:rsidRDefault="00A332AF" w:rsidP="00E87067">
      <w:bookmarkStart w:id="0" w:name="_Hlk21521176"/>
    </w:p>
    <w:p w14:paraId="7A198AED" w14:textId="77777777" w:rsidR="00A332AF" w:rsidRPr="007528C7" w:rsidRDefault="00FF3B71" w:rsidP="007528C7">
      <w:pPr>
        <w:spacing w:line="240" w:lineRule="auto"/>
        <w:rPr>
          <w:b/>
          <w:color w:val="3B3838" w:themeColor="background2" w:themeShade="40"/>
          <w:sz w:val="36"/>
          <w:szCs w:val="36"/>
        </w:rPr>
      </w:pPr>
      <w:r w:rsidRPr="007528C7">
        <w:rPr>
          <w:b/>
          <w:color w:val="3B3838" w:themeColor="background2" w:themeShade="40"/>
          <w:sz w:val="36"/>
          <w:szCs w:val="36"/>
        </w:rPr>
        <w:t xml:space="preserve">Division of Microbiology and Infectious Diseases </w:t>
      </w:r>
    </w:p>
    <w:p w14:paraId="5FC69821" w14:textId="77777777" w:rsidR="00A332AF" w:rsidRPr="007528C7" w:rsidRDefault="00FF3B71" w:rsidP="007528C7">
      <w:pPr>
        <w:spacing w:line="240" w:lineRule="auto"/>
        <w:rPr>
          <w:b/>
          <w:color w:val="3B3838" w:themeColor="background2" w:themeShade="40"/>
          <w:sz w:val="36"/>
          <w:szCs w:val="36"/>
        </w:rPr>
      </w:pPr>
      <w:r w:rsidRPr="007528C7">
        <w:rPr>
          <w:b/>
          <w:color w:val="3B3838" w:themeColor="background2" w:themeShade="40"/>
          <w:sz w:val="36"/>
          <w:szCs w:val="36"/>
        </w:rPr>
        <w:t xml:space="preserve">National Institute of Allergy and Infectious Diseases </w:t>
      </w:r>
    </w:p>
    <w:p w14:paraId="514BB420" w14:textId="40F3B07E" w:rsidR="00FF3B71" w:rsidRPr="007528C7" w:rsidRDefault="00FF3B71" w:rsidP="007528C7">
      <w:pPr>
        <w:spacing w:line="240" w:lineRule="auto"/>
        <w:rPr>
          <w:b/>
          <w:color w:val="3B3838" w:themeColor="background2" w:themeShade="40"/>
          <w:sz w:val="36"/>
          <w:szCs w:val="36"/>
        </w:rPr>
      </w:pPr>
      <w:r w:rsidRPr="007528C7">
        <w:rPr>
          <w:b/>
          <w:color w:val="3B3838" w:themeColor="background2" w:themeShade="40"/>
          <w:sz w:val="36"/>
          <w:szCs w:val="36"/>
        </w:rPr>
        <w:t>National Institutes of Health</w:t>
      </w:r>
      <w:bookmarkEnd w:id="0"/>
    </w:p>
    <w:p w14:paraId="604A1081" w14:textId="77777777" w:rsidR="00FF3B71" w:rsidRPr="00E87067" w:rsidRDefault="00FF3B71" w:rsidP="00E87067"/>
    <w:p w14:paraId="14681FC0" w14:textId="77777777" w:rsidR="00FF3B71" w:rsidRPr="00E87067" w:rsidRDefault="00FF3B71" w:rsidP="00E87067"/>
    <w:p w14:paraId="1C4E6D1F" w14:textId="77777777" w:rsidR="00FF3B71" w:rsidRPr="00E87067" w:rsidRDefault="00FF3B71" w:rsidP="00E87067">
      <w:pPr>
        <w:sectPr w:rsidR="00FF3B71" w:rsidRPr="00E87067" w:rsidSect="00B64A62">
          <w:footerReference w:type="default" r:id="rId11"/>
          <w:type w:val="continuous"/>
          <w:pgSz w:w="12240" w:h="15840" w:code="1"/>
          <w:pgMar w:top="1080" w:right="1180" w:bottom="280" w:left="1140" w:header="720" w:footer="720" w:gutter="0"/>
          <w:cols w:num="2" w:space="720" w:equalWidth="0">
            <w:col w:w="5559" w:space="201"/>
            <w:col w:w="4160"/>
          </w:cols>
        </w:sectPr>
      </w:pPr>
    </w:p>
    <w:p w14:paraId="62A8E60C" w14:textId="70E8FC9B" w:rsidR="000E3410" w:rsidRDefault="000E3410" w:rsidP="007528C7">
      <w:pPr>
        <w:pStyle w:val="Heading2"/>
      </w:pPr>
      <w:bookmarkStart w:id="1" w:name="_Toc224716363"/>
      <w:bookmarkStart w:id="2" w:name="_Toc224716405"/>
      <w:r>
        <w:lastRenderedPageBreak/>
        <w:t xml:space="preserve">Table </w:t>
      </w:r>
      <w:r>
        <w:fldChar w:fldCharType="begin"/>
      </w:r>
      <w:r>
        <w:instrText>SEQ Table \* ARABIC</w:instrText>
      </w:r>
      <w:r>
        <w:fldChar w:fldCharType="separate"/>
      </w:r>
      <w:r w:rsidR="00843F45">
        <w:rPr>
          <w:noProof/>
        </w:rPr>
        <w:t>1</w:t>
      </w:r>
      <w:r>
        <w:fldChar w:fldCharType="end"/>
      </w:r>
      <w:r>
        <w:t xml:space="preserve"> Change Summary</w:t>
      </w:r>
      <w:bookmarkEnd w:id="1"/>
      <w:bookmarkEnd w:id="2"/>
    </w:p>
    <w:tbl>
      <w:tblPr>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1E0" w:firstRow="1" w:lastRow="1" w:firstColumn="1" w:lastColumn="1" w:noHBand="0" w:noVBand="0"/>
      </w:tblPr>
      <w:tblGrid>
        <w:gridCol w:w="1382"/>
        <w:gridCol w:w="2587"/>
        <w:gridCol w:w="2700"/>
        <w:gridCol w:w="2430"/>
      </w:tblGrid>
      <w:tr w:rsidR="00E56870" w:rsidRPr="00E87067" w14:paraId="6C529179" w14:textId="77777777" w:rsidTr="007528C7">
        <w:trPr>
          <w:trHeight w:val="398"/>
        </w:trPr>
        <w:tc>
          <w:tcPr>
            <w:tcW w:w="1382" w:type="dxa"/>
            <w:shd w:val="clear" w:color="auto" w:fill="03569B"/>
            <w:vAlign w:val="center"/>
          </w:tcPr>
          <w:p w14:paraId="4D588890" w14:textId="197C05BC" w:rsidR="00FA3BA4" w:rsidRPr="007528C7" w:rsidRDefault="00FA3BA4" w:rsidP="007528C7">
            <w:pPr>
              <w:spacing w:before="0" w:after="0"/>
              <w:rPr>
                <w:b/>
                <w:color w:val="FFFFFF" w:themeColor="background1"/>
              </w:rPr>
            </w:pPr>
            <w:r w:rsidRPr="007528C7">
              <w:rPr>
                <w:b/>
                <w:color w:val="FFFFFF" w:themeColor="background1"/>
              </w:rPr>
              <w:t>Version Number</w:t>
            </w:r>
          </w:p>
        </w:tc>
        <w:tc>
          <w:tcPr>
            <w:tcW w:w="2587" w:type="dxa"/>
            <w:shd w:val="clear" w:color="auto" w:fill="03569B"/>
            <w:vAlign w:val="center"/>
          </w:tcPr>
          <w:p w14:paraId="587BE9A2" w14:textId="77777777" w:rsidR="00FA3BA4" w:rsidRPr="007528C7" w:rsidRDefault="00FA3BA4" w:rsidP="007528C7">
            <w:pPr>
              <w:spacing w:before="0" w:after="0"/>
              <w:rPr>
                <w:b/>
                <w:color w:val="FFFFFF" w:themeColor="background1"/>
              </w:rPr>
            </w:pPr>
            <w:r w:rsidRPr="007528C7">
              <w:rPr>
                <w:b/>
                <w:color w:val="FFFFFF" w:themeColor="background1"/>
              </w:rPr>
              <w:t>Date of Revision: DD/MMM/YYYY</w:t>
            </w:r>
          </w:p>
        </w:tc>
        <w:tc>
          <w:tcPr>
            <w:tcW w:w="2700" w:type="dxa"/>
            <w:shd w:val="clear" w:color="auto" w:fill="03569B"/>
            <w:vAlign w:val="center"/>
          </w:tcPr>
          <w:p w14:paraId="24BEC638" w14:textId="77777777" w:rsidR="00FA3BA4" w:rsidRPr="007528C7" w:rsidRDefault="00FA3BA4" w:rsidP="007528C7">
            <w:pPr>
              <w:spacing w:before="0" w:after="0"/>
              <w:rPr>
                <w:b/>
                <w:color w:val="FFFFFF" w:themeColor="background1"/>
              </w:rPr>
            </w:pPr>
            <w:r w:rsidRPr="007528C7">
              <w:rPr>
                <w:b/>
                <w:color w:val="FFFFFF" w:themeColor="background1"/>
              </w:rPr>
              <w:t>Replaces</w:t>
            </w:r>
          </w:p>
        </w:tc>
        <w:tc>
          <w:tcPr>
            <w:tcW w:w="2430" w:type="dxa"/>
            <w:shd w:val="clear" w:color="auto" w:fill="03569B"/>
            <w:vAlign w:val="center"/>
          </w:tcPr>
          <w:p w14:paraId="45C70811" w14:textId="77777777" w:rsidR="00FA3BA4" w:rsidRPr="007528C7" w:rsidRDefault="00FA3BA4" w:rsidP="007528C7">
            <w:pPr>
              <w:spacing w:before="0" w:after="0"/>
              <w:rPr>
                <w:b/>
                <w:color w:val="FFFFFF" w:themeColor="background1"/>
              </w:rPr>
            </w:pPr>
            <w:r w:rsidRPr="007528C7">
              <w:rPr>
                <w:b/>
                <w:color w:val="FFFFFF" w:themeColor="background1"/>
              </w:rPr>
              <w:t>Effective Date: DD/MMM/YYYY</w:t>
            </w:r>
          </w:p>
        </w:tc>
      </w:tr>
      <w:tr w:rsidR="00FA3BA4" w:rsidRPr="00E87067" w14:paraId="5B0AA5B4" w14:textId="77777777" w:rsidTr="007528C7">
        <w:trPr>
          <w:trHeight w:val="247"/>
        </w:trPr>
        <w:tc>
          <w:tcPr>
            <w:tcW w:w="1382" w:type="dxa"/>
            <w:vAlign w:val="center"/>
          </w:tcPr>
          <w:p w14:paraId="36A3CEDC" w14:textId="173E05F1" w:rsidR="00FA3BA4" w:rsidRPr="00465B45" w:rsidRDefault="00FA3BA4" w:rsidP="007528C7">
            <w:pPr>
              <w:spacing w:after="0"/>
              <w:rPr>
                <w:color w:val="000000" w:themeColor="text1"/>
              </w:rPr>
            </w:pPr>
            <w:r w:rsidRPr="00465B45">
              <w:rPr>
                <w:color w:val="000000" w:themeColor="text1"/>
              </w:rPr>
              <w:t>2.0</w:t>
            </w:r>
          </w:p>
        </w:tc>
        <w:tc>
          <w:tcPr>
            <w:tcW w:w="2587" w:type="dxa"/>
            <w:vAlign w:val="center"/>
          </w:tcPr>
          <w:p w14:paraId="4543AA29" w14:textId="1009DC9C" w:rsidR="00FA3BA4" w:rsidRPr="00465B45" w:rsidRDefault="0086231E" w:rsidP="007528C7">
            <w:pPr>
              <w:spacing w:after="0"/>
              <w:rPr>
                <w:color w:val="000000" w:themeColor="text1"/>
              </w:rPr>
            </w:pPr>
            <w:r>
              <w:rPr>
                <w:color w:val="000000" w:themeColor="text1"/>
              </w:rPr>
              <w:t>25Feb</w:t>
            </w:r>
            <w:r w:rsidR="00DF523E" w:rsidRPr="00465B45">
              <w:rPr>
                <w:color w:val="000000" w:themeColor="text1"/>
              </w:rPr>
              <w:t>202</w:t>
            </w:r>
            <w:r>
              <w:rPr>
                <w:color w:val="000000" w:themeColor="text1"/>
              </w:rPr>
              <w:t>6</w:t>
            </w:r>
          </w:p>
        </w:tc>
        <w:tc>
          <w:tcPr>
            <w:tcW w:w="2700" w:type="dxa"/>
            <w:vAlign w:val="center"/>
          </w:tcPr>
          <w:p w14:paraId="4FE3B15F" w14:textId="77777777" w:rsidR="00FA3BA4" w:rsidRPr="00465B45" w:rsidRDefault="00FA3BA4" w:rsidP="007528C7">
            <w:pPr>
              <w:spacing w:after="0"/>
              <w:rPr>
                <w:color w:val="000000" w:themeColor="text1"/>
              </w:rPr>
            </w:pPr>
            <w:r w:rsidRPr="00465B45">
              <w:rPr>
                <w:color w:val="000000" w:themeColor="text1"/>
              </w:rPr>
              <w:t>v1.0</w:t>
            </w:r>
          </w:p>
        </w:tc>
        <w:tc>
          <w:tcPr>
            <w:tcW w:w="2430" w:type="dxa"/>
            <w:vAlign w:val="center"/>
          </w:tcPr>
          <w:p w14:paraId="6D18787A" w14:textId="77777777" w:rsidR="00FA3BA4" w:rsidRPr="00465B45" w:rsidRDefault="00FA3BA4" w:rsidP="007528C7">
            <w:pPr>
              <w:spacing w:after="0"/>
              <w:rPr>
                <w:color w:val="000000" w:themeColor="text1"/>
              </w:rPr>
            </w:pPr>
            <w:r w:rsidRPr="00465B45">
              <w:rPr>
                <w:color w:val="EE0000"/>
              </w:rPr>
              <w:t>TBD</w:t>
            </w:r>
          </w:p>
        </w:tc>
      </w:tr>
      <w:tr w:rsidR="00051EA4" w:rsidRPr="00E87067" w14:paraId="1B335B32" w14:textId="77777777" w:rsidTr="007528C7">
        <w:trPr>
          <w:trHeight w:val="247"/>
        </w:trPr>
        <w:tc>
          <w:tcPr>
            <w:tcW w:w="9099" w:type="dxa"/>
            <w:gridSpan w:val="4"/>
            <w:shd w:val="clear" w:color="auto" w:fill="0070C0"/>
            <w:vAlign w:val="center"/>
          </w:tcPr>
          <w:p w14:paraId="64C60179" w14:textId="6866BBBA" w:rsidR="00051EA4" w:rsidRPr="007528C7" w:rsidRDefault="00051EA4" w:rsidP="007528C7">
            <w:pPr>
              <w:spacing w:before="0" w:after="0"/>
              <w:jc w:val="center"/>
              <w:rPr>
                <w:b/>
                <w:color w:val="FFFFFF" w:themeColor="background1"/>
              </w:rPr>
            </w:pPr>
            <w:r w:rsidRPr="007528C7">
              <w:rPr>
                <w:b/>
                <w:color w:val="FFFFFF" w:themeColor="background1"/>
              </w:rPr>
              <w:t>Description of Revision/Retirement</w:t>
            </w:r>
          </w:p>
        </w:tc>
      </w:tr>
      <w:tr w:rsidR="00051EA4" w:rsidRPr="00E87067" w14:paraId="45764039" w14:textId="77777777" w:rsidTr="007528C7">
        <w:trPr>
          <w:trHeight w:val="247"/>
        </w:trPr>
        <w:tc>
          <w:tcPr>
            <w:tcW w:w="9099" w:type="dxa"/>
            <w:gridSpan w:val="4"/>
            <w:vAlign w:val="center"/>
          </w:tcPr>
          <w:p w14:paraId="3093F620" w14:textId="35366BF6" w:rsidR="001362D7" w:rsidRPr="002F47FF" w:rsidRDefault="0044235E" w:rsidP="001362D7">
            <w:pPr>
              <w:rPr>
                <w:color w:val="000000" w:themeColor="text1"/>
                <w:sz w:val="20"/>
                <w:szCs w:val="20"/>
              </w:rPr>
            </w:pPr>
            <w:r>
              <w:rPr>
                <w:color w:val="000000" w:themeColor="text1"/>
                <w:sz w:val="20"/>
                <w:szCs w:val="20"/>
              </w:rPr>
              <w:t>Removed</w:t>
            </w:r>
            <w:r w:rsidR="009D2E67" w:rsidRPr="002F47FF">
              <w:rPr>
                <w:color w:val="000000" w:themeColor="text1"/>
                <w:sz w:val="20"/>
                <w:szCs w:val="20"/>
              </w:rPr>
              <w:t xml:space="preserve"> </w:t>
            </w:r>
            <w:r w:rsidR="001362D7" w:rsidRPr="002F47FF">
              <w:rPr>
                <w:color w:val="000000" w:themeColor="text1"/>
                <w:sz w:val="20"/>
                <w:szCs w:val="20"/>
              </w:rPr>
              <w:t>DMID Signature Approvals for current DMID ORA Director and Pharmacists</w:t>
            </w:r>
            <w:r w:rsidR="00106B9E">
              <w:rPr>
                <w:color w:val="000000" w:themeColor="text1"/>
                <w:sz w:val="20"/>
                <w:szCs w:val="20"/>
              </w:rPr>
              <w:t>, page 2</w:t>
            </w:r>
            <w:r w:rsidR="001362D7" w:rsidRPr="002F47FF">
              <w:rPr>
                <w:color w:val="000000" w:themeColor="text1"/>
                <w:sz w:val="20"/>
                <w:szCs w:val="20"/>
              </w:rPr>
              <w:t>.</w:t>
            </w:r>
          </w:p>
          <w:p w14:paraId="3755E5A5" w14:textId="1362AC61" w:rsidR="001362D7" w:rsidRPr="002F47FF" w:rsidRDefault="001362D7" w:rsidP="001362D7">
            <w:pPr>
              <w:rPr>
                <w:color w:val="000000" w:themeColor="text1"/>
                <w:sz w:val="20"/>
                <w:szCs w:val="20"/>
              </w:rPr>
            </w:pPr>
            <w:r w:rsidRPr="002F47FF">
              <w:rPr>
                <w:color w:val="000000" w:themeColor="text1"/>
                <w:sz w:val="20"/>
                <w:szCs w:val="20"/>
              </w:rPr>
              <w:t>Change Summary revised to Table 1 and populated with changes.</w:t>
            </w:r>
          </w:p>
          <w:p w14:paraId="7557B15F" w14:textId="77777777" w:rsidR="001362D7" w:rsidRPr="002F47FF" w:rsidRDefault="001362D7" w:rsidP="001362D7">
            <w:pPr>
              <w:rPr>
                <w:color w:val="000000" w:themeColor="text1"/>
                <w:sz w:val="20"/>
                <w:szCs w:val="20"/>
              </w:rPr>
            </w:pPr>
            <w:r w:rsidRPr="002F47FF">
              <w:rPr>
                <w:color w:val="000000" w:themeColor="text1"/>
                <w:sz w:val="20"/>
                <w:szCs w:val="20"/>
              </w:rPr>
              <w:t>Table of Contents, Updated.</w:t>
            </w:r>
          </w:p>
          <w:p w14:paraId="403C7FD3" w14:textId="77777777" w:rsidR="001362D7" w:rsidRPr="002F47FF" w:rsidRDefault="001362D7" w:rsidP="001362D7">
            <w:pPr>
              <w:rPr>
                <w:color w:val="000000" w:themeColor="text1"/>
                <w:sz w:val="20"/>
                <w:szCs w:val="20"/>
              </w:rPr>
            </w:pPr>
            <w:r w:rsidRPr="002F47FF">
              <w:rPr>
                <w:color w:val="000000" w:themeColor="text1"/>
                <w:sz w:val="20"/>
                <w:szCs w:val="20"/>
              </w:rPr>
              <w:t>List of Tables, Updated.</w:t>
            </w:r>
          </w:p>
          <w:p w14:paraId="6C00944C" w14:textId="77777777" w:rsidR="001362D7" w:rsidRPr="002F47FF" w:rsidRDefault="001362D7" w:rsidP="001362D7">
            <w:pPr>
              <w:rPr>
                <w:color w:val="000000" w:themeColor="text1"/>
                <w:sz w:val="20"/>
                <w:szCs w:val="20"/>
              </w:rPr>
            </w:pPr>
            <w:r w:rsidRPr="002F47FF">
              <w:rPr>
                <w:color w:val="000000" w:themeColor="text1"/>
                <w:sz w:val="20"/>
                <w:szCs w:val="20"/>
              </w:rPr>
              <w:t>List of Abbreviations, Revised to Table 2.</w:t>
            </w:r>
          </w:p>
          <w:p w14:paraId="6D460EDC" w14:textId="77777777" w:rsidR="001362D7" w:rsidRDefault="001362D7" w:rsidP="001362D7">
            <w:pPr>
              <w:rPr>
                <w:color w:val="000000" w:themeColor="text1"/>
                <w:sz w:val="20"/>
                <w:szCs w:val="20"/>
              </w:rPr>
            </w:pPr>
            <w:r w:rsidRPr="002F47FF">
              <w:rPr>
                <w:color w:val="000000" w:themeColor="text1"/>
                <w:sz w:val="20"/>
                <w:szCs w:val="20"/>
              </w:rPr>
              <w:t>Glossary of Terms, Revised to Table 3 with no name or content changes.</w:t>
            </w:r>
          </w:p>
          <w:p w14:paraId="0768CEB9" w14:textId="2E8551F9" w:rsidR="003A41A6" w:rsidRPr="002F47FF" w:rsidRDefault="003A41A6" w:rsidP="001362D7">
            <w:pPr>
              <w:rPr>
                <w:color w:val="000000" w:themeColor="text1"/>
                <w:sz w:val="20"/>
                <w:szCs w:val="20"/>
              </w:rPr>
            </w:pPr>
            <w:r>
              <w:rPr>
                <w:color w:val="000000" w:themeColor="text1"/>
                <w:sz w:val="20"/>
                <w:szCs w:val="20"/>
              </w:rPr>
              <w:t>Revised</w:t>
            </w:r>
            <w:r w:rsidR="00A80437">
              <w:rPr>
                <w:color w:val="000000" w:themeColor="text1"/>
                <w:sz w:val="20"/>
                <w:szCs w:val="20"/>
              </w:rPr>
              <w:t>, globally,</w:t>
            </w:r>
            <w:r>
              <w:rPr>
                <w:color w:val="000000" w:themeColor="text1"/>
                <w:sz w:val="20"/>
                <w:szCs w:val="20"/>
              </w:rPr>
              <w:t xml:space="preserve"> “study” product to “investigational” product</w:t>
            </w:r>
            <w:r w:rsidR="00A80437">
              <w:rPr>
                <w:color w:val="000000" w:themeColor="text1"/>
                <w:sz w:val="20"/>
                <w:szCs w:val="20"/>
              </w:rPr>
              <w:t xml:space="preserve">, except for </w:t>
            </w:r>
            <w:r w:rsidR="001828B7">
              <w:rPr>
                <w:color w:val="000000" w:themeColor="text1"/>
                <w:sz w:val="20"/>
                <w:szCs w:val="20"/>
              </w:rPr>
              <w:t xml:space="preserve">instances regarding </w:t>
            </w:r>
            <w:r w:rsidR="00196DEA">
              <w:rPr>
                <w:color w:val="000000" w:themeColor="text1"/>
                <w:sz w:val="20"/>
                <w:szCs w:val="20"/>
              </w:rPr>
              <w:t>S</w:t>
            </w:r>
            <w:r w:rsidR="00A80437">
              <w:rPr>
                <w:color w:val="000000" w:themeColor="text1"/>
                <w:sz w:val="20"/>
                <w:szCs w:val="20"/>
              </w:rPr>
              <w:t>PMP.</w:t>
            </w:r>
          </w:p>
          <w:p w14:paraId="33B4F373" w14:textId="519C709A" w:rsidR="001362D7" w:rsidRPr="007F1FB0" w:rsidRDefault="00C92816" w:rsidP="001362D7">
            <w:pPr>
              <w:rPr>
                <w:color w:val="000000" w:themeColor="text1"/>
                <w:sz w:val="20"/>
                <w:szCs w:val="20"/>
              </w:rPr>
            </w:pPr>
            <w:r w:rsidRPr="00C92816">
              <w:rPr>
                <w:color w:val="000000" w:themeColor="text1"/>
                <w:sz w:val="20"/>
                <w:szCs w:val="20"/>
              </w:rPr>
              <w:t>United States Pharmacopeia/National Formulary (USP/NF) Storage Conditions Definitions</w:t>
            </w:r>
            <w:r>
              <w:rPr>
                <w:color w:val="000000" w:themeColor="text1"/>
                <w:sz w:val="20"/>
                <w:szCs w:val="20"/>
              </w:rPr>
              <w:t xml:space="preserve"> updated to </w:t>
            </w:r>
            <w:r w:rsidR="001362D7" w:rsidRPr="007F1FB0">
              <w:rPr>
                <w:color w:val="000000" w:themeColor="text1"/>
                <w:sz w:val="20"/>
                <w:szCs w:val="20"/>
              </w:rPr>
              <w:t xml:space="preserve">Table </w:t>
            </w:r>
            <w:r w:rsidR="00465B45" w:rsidRPr="007F1FB0">
              <w:rPr>
                <w:color w:val="000000" w:themeColor="text1"/>
                <w:sz w:val="20"/>
                <w:szCs w:val="20"/>
              </w:rPr>
              <w:t>4</w:t>
            </w:r>
            <w:r w:rsidR="0033467D">
              <w:rPr>
                <w:color w:val="000000" w:themeColor="text1"/>
                <w:sz w:val="20"/>
                <w:szCs w:val="20"/>
              </w:rPr>
              <w:t xml:space="preserve">, Investigational Product Storage Conditions and Temperature Definitions, </w:t>
            </w:r>
            <w:r>
              <w:rPr>
                <w:color w:val="000000" w:themeColor="text1"/>
                <w:sz w:val="20"/>
                <w:szCs w:val="20"/>
              </w:rPr>
              <w:t xml:space="preserve">with </w:t>
            </w:r>
            <w:r w:rsidR="0086498B" w:rsidRPr="007F1FB0">
              <w:rPr>
                <w:color w:val="000000" w:themeColor="text1"/>
                <w:sz w:val="20"/>
                <w:szCs w:val="20"/>
              </w:rPr>
              <w:t>current USP</w:t>
            </w:r>
            <w:r w:rsidR="005A56A5" w:rsidRPr="007F1FB0">
              <w:rPr>
                <w:color w:val="000000" w:themeColor="text1"/>
                <w:sz w:val="20"/>
                <w:szCs w:val="20"/>
              </w:rPr>
              <w:t xml:space="preserve"> </w:t>
            </w:r>
            <w:r w:rsidR="009E6633">
              <w:rPr>
                <w:color w:val="000000" w:themeColor="text1"/>
                <w:sz w:val="20"/>
                <w:szCs w:val="20"/>
              </w:rPr>
              <w:t>content</w:t>
            </w:r>
            <w:r w:rsidR="004C4838" w:rsidRPr="007F1FB0">
              <w:rPr>
                <w:color w:val="000000" w:themeColor="text1"/>
                <w:sz w:val="20"/>
                <w:szCs w:val="20"/>
              </w:rPr>
              <w:t xml:space="preserve"> and </w:t>
            </w:r>
            <w:r w:rsidR="00057BF7" w:rsidRPr="007F1FB0">
              <w:rPr>
                <w:color w:val="000000" w:themeColor="text1"/>
                <w:sz w:val="20"/>
                <w:szCs w:val="20"/>
              </w:rPr>
              <w:t xml:space="preserve">added a </w:t>
            </w:r>
            <w:r w:rsidR="007F1FB0" w:rsidRPr="007F1FB0">
              <w:rPr>
                <w:color w:val="000000" w:themeColor="text1"/>
                <w:sz w:val="20"/>
                <w:szCs w:val="20"/>
              </w:rPr>
              <w:t>USP reference</w:t>
            </w:r>
            <w:r w:rsidR="0045713C">
              <w:rPr>
                <w:color w:val="000000" w:themeColor="text1"/>
                <w:sz w:val="20"/>
                <w:szCs w:val="20"/>
              </w:rPr>
              <w:t xml:space="preserve"> </w:t>
            </w:r>
            <w:r w:rsidR="00EC6317">
              <w:rPr>
                <w:color w:val="000000" w:themeColor="text1"/>
                <w:sz w:val="20"/>
                <w:szCs w:val="20"/>
              </w:rPr>
              <w:t>to</w:t>
            </w:r>
            <w:r w:rsidR="0045713C">
              <w:rPr>
                <w:color w:val="000000" w:themeColor="text1"/>
                <w:sz w:val="20"/>
                <w:szCs w:val="20"/>
              </w:rPr>
              <w:t xml:space="preserve"> </w:t>
            </w:r>
            <w:r w:rsidR="0045713C" w:rsidRPr="0045713C">
              <w:rPr>
                <w:color w:val="000000" w:themeColor="text1"/>
                <w:sz w:val="20"/>
                <w:szCs w:val="20"/>
              </w:rPr>
              <w:t>General Chapter &lt;659&gt; PACKAGING AND STORAGE REQUIREMENTS</w:t>
            </w:r>
            <w:r w:rsidR="001362D7" w:rsidRPr="007F1FB0">
              <w:rPr>
                <w:color w:val="000000" w:themeColor="text1"/>
                <w:sz w:val="20"/>
                <w:szCs w:val="20"/>
              </w:rPr>
              <w:t>.</w:t>
            </w:r>
          </w:p>
          <w:p w14:paraId="3FEC6169" w14:textId="77777777" w:rsidR="001362D7" w:rsidRPr="002F47FF" w:rsidRDefault="001362D7" w:rsidP="001362D7">
            <w:pPr>
              <w:rPr>
                <w:color w:val="000000" w:themeColor="text1"/>
                <w:sz w:val="20"/>
                <w:szCs w:val="20"/>
              </w:rPr>
            </w:pPr>
            <w:r w:rsidRPr="002F47FF">
              <w:rPr>
                <w:color w:val="000000" w:themeColor="text1"/>
                <w:sz w:val="20"/>
                <w:szCs w:val="20"/>
              </w:rPr>
              <w:t>Section 1.1, Updated “DMID” to “the DMID” globally where applicable; made minor text clarifications.</w:t>
            </w:r>
          </w:p>
          <w:p w14:paraId="6A61E2CB" w14:textId="77777777" w:rsidR="001362D7" w:rsidRPr="002F47FF" w:rsidRDefault="001362D7" w:rsidP="001362D7">
            <w:pPr>
              <w:rPr>
                <w:color w:val="000000" w:themeColor="text1"/>
                <w:sz w:val="20"/>
                <w:szCs w:val="20"/>
              </w:rPr>
            </w:pPr>
            <w:r w:rsidRPr="002F47FF">
              <w:rPr>
                <w:color w:val="000000" w:themeColor="text1"/>
                <w:sz w:val="20"/>
                <w:szCs w:val="20"/>
              </w:rPr>
              <w:t>Section 1.2, Made minor text clarification.</w:t>
            </w:r>
          </w:p>
          <w:p w14:paraId="484663EE" w14:textId="6BFC7645" w:rsidR="001362D7" w:rsidRPr="002F47FF" w:rsidRDefault="001362D7" w:rsidP="001362D7">
            <w:pPr>
              <w:rPr>
                <w:color w:val="000000" w:themeColor="text1"/>
                <w:sz w:val="20"/>
                <w:szCs w:val="20"/>
              </w:rPr>
            </w:pPr>
            <w:r w:rsidRPr="002F47FF">
              <w:rPr>
                <w:color w:val="000000" w:themeColor="text1"/>
                <w:sz w:val="20"/>
                <w:szCs w:val="20"/>
              </w:rPr>
              <w:t>Section 1.3.1, Removed DMID PST phone number, updated CMS phone number, made minor text clarifications</w:t>
            </w:r>
            <w:r w:rsidR="00E13812">
              <w:rPr>
                <w:color w:val="000000" w:themeColor="text1"/>
                <w:sz w:val="20"/>
                <w:szCs w:val="20"/>
              </w:rPr>
              <w:t xml:space="preserve">, moved to </w:t>
            </w:r>
            <w:r w:rsidR="0064115E">
              <w:rPr>
                <w:color w:val="000000" w:themeColor="text1"/>
                <w:sz w:val="20"/>
                <w:szCs w:val="20"/>
              </w:rPr>
              <w:t>new section 1.4</w:t>
            </w:r>
            <w:r w:rsidRPr="002F47FF">
              <w:rPr>
                <w:color w:val="000000" w:themeColor="text1"/>
                <w:sz w:val="20"/>
                <w:szCs w:val="20"/>
              </w:rPr>
              <w:t>.</w:t>
            </w:r>
          </w:p>
          <w:p w14:paraId="4F7487AA" w14:textId="77777777" w:rsidR="001362D7" w:rsidRPr="002F47FF" w:rsidRDefault="001362D7" w:rsidP="001362D7">
            <w:pPr>
              <w:rPr>
                <w:color w:val="000000" w:themeColor="text1"/>
                <w:sz w:val="20"/>
                <w:szCs w:val="20"/>
              </w:rPr>
            </w:pPr>
            <w:r w:rsidRPr="002F47FF">
              <w:rPr>
                <w:color w:val="000000" w:themeColor="text1"/>
                <w:sz w:val="20"/>
                <w:szCs w:val="20"/>
              </w:rPr>
              <w:t>Section 3.1, Made minor text clarifications.</w:t>
            </w:r>
          </w:p>
          <w:p w14:paraId="4485554E" w14:textId="61FFB136" w:rsidR="001362D7" w:rsidRPr="002F47FF" w:rsidRDefault="001362D7" w:rsidP="001362D7">
            <w:pPr>
              <w:rPr>
                <w:color w:val="000000" w:themeColor="text1"/>
                <w:sz w:val="20"/>
                <w:szCs w:val="20"/>
              </w:rPr>
            </w:pPr>
            <w:r w:rsidRPr="002F47FF">
              <w:rPr>
                <w:color w:val="000000" w:themeColor="text1"/>
                <w:sz w:val="20"/>
                <w:szCs w:val="20"/>
              </w:rPr>
              <w:t xml:space="preserve">Section 3.2, Updated accountability and retention for used </w:t>
            </w:r>
            <w:r w:rsidR="009B3AA1">
              <w:rPr>
                <w:color w:val="000000" w:themeColor="text1"/>
                <w:sz w:val="20"/>
                <w:szCs w:val="20"/>
              </w:rPr>
              <w:t>investigational</w:t>
            </w:r>
            <w:r w:rsidRPr="002F47FF">
              <w:rPr>
                <w:color w:val="000000" w:themeColor="text1"/>
                <w:sz w:val="20"/>
                <w:szCs w:val="20"/>
              </w:rPr>
              <w:t xml:space="preserve"> product containers.</w:t>
            </w:r>
          </w:p>
          <w:p w14:paraId="4A26754A" w14:textId="2DC17DC1" w:rsidR="001362D7" w:rsidRPr="002F47FF" w:rsidRDefault="001362D7" w:rsidP="001362D7">
            <w:pPr>
              <w:rPr>
                <w:color w:val="000000" w:themeColor="text1"/>
                <w:sz w:val="20"/>
                <w:szCs w:val="20"/>
              </w:rPr>
            </w:pPr>
            <w:r w:rsidRPr="002F47FF">
              <w:rPr>
                <w:color w:val="000000" w:themeColor="text1"/>
                <w:sz w:val="20"/>
                <w:szCs w:val="20"/>
              </w:rPr>
              <w:t>Section 3.3, Updated expired product storage instructions</w:t>
            </w:r>
            <w:r w:rsidR="00BB3768">
              <w:rPr>
                <w:color w:val="000000" w:themeColor="text1"/>
                <w:sz w:val="20"/>
                <w:szCs w:val="20"/>
              </w:rPr>
              <w:t xml:space="preserve"> and moved to </w:t>
            </w:r>
            <w:r w:rsidR="00DA2857">
              <w:rPr>
                <w:color w:val="000000" w:themeColor="text1"/>
                <w:sz w:val="20"/>
                <w:szCs w:val="20"/>
              </w:rPr>
              <w:t xml:space="preserve">section </w:t>
            </w:r>
            <w:r w:rsidR="00BB3768">
              <w:rPr>
                <w:color w:val="000000" w:themeColor="text1"/>
                <w:sz w:val="20"/>
                <w:szCs w:val="20"/>
              </w:rPr>
              <w:t>3.3.2</w:t>
            </w:r>
            <w:r w:rsidRPr="002F47FF">
              <w:rPr>
                <w:color w:val="000000" w:themeColor="text1"/>
                <w:sz w:val="20"/>
                <w:szCs w:val="20"/>
              </w:rPr>
              <w:t>.</w:t>
            </w:r>
          </w:p>
          <w:p w14:paraId="406E7D90" w14:textId="27150D4D" w:rsidR="001362D7" w:rsidRPr="002F47FF" w:rsidRDefault="001362D7" w:rsidP="001362D7">
            <w:pPr>
              <w:rPr>
                <w:color w:val="000000" w:themeColor="text1"/>
                <w:sz w:val="20"/>
                <w:szCs w:val="20"/>
              </w:rPr>
            </w:pPr>
            <w:r w:rsidRPr="002F47FF">
              <w:rPr>
                <w:color w:val="000000" w:themeColor="text1"/>
                <w:sz w:val="20"/>
                <w:szCs w:val="20"/>
              </w:rPr>
              <w:t xml:space="preserve">Section 3.4, Updated Unused </w:t>
            </w:r>
            <w:r w:rsidR="009B3AA1">
              <w:rPr>
                <w:color w:val="000000" w:themeColor="text1"/>
                <w:sz w:val="20"/>
                <w:szCs w:val="20"/>
              </w:rPr>
              <w:t>investigational</w:t>
            </w:r>
            <w:r w:rsidRPr="002F47FF">
              <w:rPr>
                <w:color w:val="000000" w:themeColor="text1"/>
                <w:sz w:val="20"/>
                <w:szCs w:val="20"/>
              </w:rPr>
              <w:t xml:space="preserve"> product instructions; made minor text clarifications.</w:t>
            </w:r>
          </w:p>
          <w:p w14:paraId="69D3C371" w14:textId="77777777" w:rsidR="001362D7" w:rsidRPr="002F47FF" w:rsidRDefault="001362D7" w:rsidP="001362D7">
            <w:pPr>
              <w:rPr>
                <w:color w:val="000000" w:themeColor="text1"/>
                <w:sz w:val="20"/>
                <w:szCs w:val="20"/>
              </w:rPr>
            </w:pPr>
            <w:r w:rsidRPr="002F47FF">
              <w:rPr>
                <w:color w:val="000000" w:themeColor="text1"/>
                <w:sz w:val="20"/>
                <w:szCs w:val="20"/>
              </w:rPr>
              <w:t>Sections 4.1.1 and 4.1.2, Made minor text clarifications.</w:t>
            </w:r>
          </w:p>
          <w:p w14:paraId="7BFDC6D9" w14:textId="77777777" w:rsidR="001362D7" w:rsidRPr="002F47FF" w:rsidRDefault="001362D7" w:rsidP="001362D7">
            <w:pPr>
              <w:rPr>
                <w:color w:val="000000" w:themeColor="text1"/>
                <w:sz w:val="20"/>
                <w:szCs w:val="20"/>
              </w:rPr>
            </w:pPr>
            <w:r w:rsidRPr="002F47FF">
              <w:rPr>
                <w:color w:val="000000" w:themeColor="text1"/>
                <w:sz w:val="20"/>
                <w:szCs w:val="20"/>
              </w:rPr>
              <w:t>Section 4.2, Clarified temperature range information.</w:t>
            </w:r>
          </w:p>
          <w:p w14:paraId="51C27C40" w14:textId="77777777" w:rsidR="001362D7" w:rsidRPr="002F47FF" w:rsidRDefault="001362D7" w:rsidP="001362D7">
            <w:pPr>
              <w:rPr>
                <w:color w:val="000000" w:themeColor="text1"/>
                <w:sz w:val="20"/>
                <w:szCs w:val="20"/>
              </w:rPr>
            </w:pPr>
            <w:r w:rsidRPr="002F47FF">
              <w:rPr>
                <w:color w:val="000000" w:themeColor="text1"/>
                <w:sz w:val="20"/>
                <w:szCs w:val="20"/>
              </w:rPr>
              <w:t>Section 4.3, Moved storage equipment to new section 4.8 and updated section 4.3 to Continuous Temperature Monitoring and Recording.</w:t>
            </w:r>
          </w:p>
          <w:p w14:paraId="2D258230" w14:textId="245759E6" w:rsidR="001362D7" w:rsidRPr="002F47FF" w:rsidRDefault="001362D7" w:rsidP="001362D7">
            <w:pPr>
              <w:rPr>
                <w:color w:val="000000" w:themeColor="text1"/>
                <w:sz w:val="20"/>
                <w:szCs w:val="20"/>
              </w:rPr>
            </w:pPr>
            <w:r w:rsidRPr="002F47FF">
              <w:rPr>
                <w:color w:val="000000" w:themeColor="text1"/>
                <w:sz w:val="20"/>
                <w:szCs w:val="20"/>
              </w:rPr>
              <w:t xml:space="preserve">Section 4.4, Moved Quarantine of </w:t>
            </w:r>
            <w:r w:rsidR="009B3AA1">
              <w:rPr>
                <w:color w:val="000000" w:themeColor="text1"/>
                <w:sz w:val="20"/>
                <w:szCs w:val="20"/>
              </w:rPr>
              <w:t>Investigational</w:t>
            </w:r>
            <w:r w:rsidRPr="002F47FF">
              <w:rPr>
                <w:color w:val="000000" w:themeColor="text1"/>
                <w:sz w:val="20"/>
                <w:szCs w:val="20"/>
              </w:rPr>
              <w:t xml:space="preserve"> Products to new section 4.11 and replaced with Daily Back-up Manual or Electronic Temperature Monitoring and Daily Temperature Log.</w:t>
            </w:r>
          </w:p>
          <w:p w14:paraId="1300243C" w14:textId="77777777" w:rsidR="001362D7" w:rsidRPr="002F47FF" w:rsidRDefault="001362D7" w:rsidP="001362D7">
            <w:pPr>
              <w:rPr>
                <w:color w:val="000000" w:themeColor="text1"/>
                <w:sz w:val="20"/>
                <w:szCs w:val="20"/>
              </w:rPr>
            </w:pPr>
            <w:r w:rsidRPr="002F47FF">
              <w:rPr>
                <w:color w:val="000000" w:themeColor="text1"/>
                <w:sz w:val="20"/>
                <w:szCs w:val="20"/>
              </w:rPr>
              <w:t>Section 4.5, Added new section for Temperature Deviations/Excursions Notification or Alarm System.</w:t>
            </w:r>
          </w:p>
          <w:p w14:paraId="077ADF80" w14:textId="77777777" w:rsidR="001362D7" w:rsidRPr="002F47FF" w:rsidRDefault="001362D7" w:rsidP="001362D7">
            <w:pPr>
              <w:rPr>
                <w:color w:val="000000" w:themeColor="text1"/>
                <w:sz w:val="20"/>
                <w:szCs w:val="20"/>
              </w:rPr>
            </w:pPr>
            <w:r w:rsidRPr="002F47FF">
              <w:rPr>
                <w:color w:val="000000" w:themeColor="text1"/>
                <w:sz w:val="20"/>
                <w:szCs w:val="20"/>
              </w:rPr>
              <w:t>Section 4.6, Added new section for Temperature Deviations/Excursions Reporting and Quarantine.</w:t>
            </w:r>
          </w:p>
          <w:p w14:paraId="0FDCF2D7" w14:textId="77777777" w:rsidR="001362D7" w:rsidRPr="002F47FF" w:rsidRDefault="001362D7" w:rsidP="001362D7">
            <w:pPr>
              <w:rPr>
                <w:color w:val="000000" w:themeColor="text1"/>
                <w:sz w:val="20"/>
                <w:szCs w:val="20"/>
              </w:rPr>
            </w:pPr>
            <w:r w:rsidRPr="002F47FF">
              <w:rPr>
                <w:color w:val="000000" w:themeColor="text1"/>
                <w:sz w:val="20"/>
                <w:szCs w:val="20"/>
              </w:rPr>
              <w:lastRenderedPageBreak/>
              <w:t>Section 4.7, Added new section Controlled Room Temperature Excursions.</w:t>
            </w:r>
          </w:p>
          <w:p w14:paraId="2A5CE492" w14:textId="77777777" w:rsidR="001362D7" w:rsidRPr="002F47FF" w:rsidRDefault="001362D7" w:rsidP="001362D7">
            <w:pPr>
              <w:rPr>
                <w:color w:val="000000" w:themeColor="text1"/>
                <w:sz w:val="20"/>
                <w:szCs w:val="20"/>
              </w:rPr>
            </w:pPr>
            <w:r w:rsidRPr="002F47FF">
              <w:rPr>
                <w:color w:val="000000" w:themeColor="text1"/>
                <w:sz w:val="20"/>
                <w:szCs w:val="20"/>
              </w:rPr>
              <w:t>Section 4.8, Moved Storage Equipment from section 4.3 and updated; moved Maintenance of Equipment to new section 4.9; moved Back-up Power Supply/Generator to new section 4.10.</w:t>
            </w:r>
          </w:p>
          <w:p w14:paraId="48B96CEF" w14:textId="77777777" w:rsidR="001362D7" w:rsidRPr="002F47FF" w:rsidRDefault="001362D7" w:rsidP="001362D7">
            <w:pPr>
              <w:rPr>
                <w:color w:val="000000" w:themeColor="text1"/>
                <w:sz w:val="20"/>
                <w:szCs w:val="20"/>
              </w:rPr>
            </w:pPr>
            <w:r w:rsidRPr="002F47FF">
              <w:rPr>
                <w:color w:val="000000" w:themeColor="text1"/>
                <w:sz w:val="20"/>
                <w:szCs w:val="20"/>
              </w:rPr>
              <w:t>Section 4.9, Moved Maintenance of Equipment from section 4.4 and updated.</w:t>
            </w:r>
          </w:p>
          <w:p w14:paraId="0C94FA00" w14:textId="77777777" w:rsidR="001362D7" w:rsidRPr="002F47FF" w:rsidRDefault="001362D7" w:rsidP="001362D7">
            <w:pPr>
              <w:rPr>
                <w:color w:val="000000" w:themeColor="text1"/>
                <w:sz w:val="20"/>
                <w:szCs w:val="20"/>
              </w:rPr>
            </w:pPr>
            <w:r w:rsidRPr="002F47FF">
              <w:rPr>
                <w:color w:val="000000" w:themeColor="text1"/>
                <w:sz w:val="20"/>
                <w:szCs w:val="20"/>
              </w:rPr>
              <w:t>Section 4.10, Added new section for Back-Up Power Supply/Generator.</w:t>
            </w:r>
          </w:p>
          <w:p w14:paraId="4A477810" w14:textId="37E8B08C" w:rsidR="001362D7" w:rsidRPr="002F47FF" w:rsidRDefault="001362D7" w:rsidP="001362D7">
            <w:pPr>
              <w:rPr>
                <w:color w:val="000000" w:themeColor="text1"/>
                <w:sz w:val="20"/>
                <w:szCs w:val="20"/>
              </w:rPr>
            </w:pPr>
            <w:r w:rsidRPr="002F47FF">
              <w:rPr>
                <w:color w:val="000000" w:themeColor="text1"/>
                <w:sz w:val="20"/>
                <w:szCs w:val="20"/>
              </w:rPr>
              <w:t xml:space="preserve">Section 4.11, Moved Quarantine of </w:t>
            </w:r>
            <w:r w:rsidR="009B3AA1">
              <w:rPr>
                <w:color w:val="000000" w:themeColor="text1"/>
                <w:sz w:val="20"/>
                <w:szCs w:val="20"/>
              </w:rPr>
              <w:t>Investigational</w:t>
            </w:r>
            <w:r w:rsidRPr="002F47FF">
              <w:rPr>
                <w:color w:val="000000" w:themeColor="text1"/>
                <w:sz w:val="20"/>
                <w:szCs w:val="20"/>
              </w:rPr>
              <w:t xml:space="preserve"> Products from section 4.4.</w:t>
            </w:r>
          </w:p>
          <w:p w14:paraId="32D5E225" w14:textId="77777777" w:rsidR="001362D7" w:rsidRPr="002F47FF" w:rsidRDefault="001362D7" w:rsidP="001362D7">
            <w:pPr>
              <w:rPr>
                <w:color w:val="000000" w:themeColor="text1"/>
                <w:sz w:val="20"/>
                <w:szCs w:val="20"/>
              </w:rPr>
            </w:pPr>
            <w:r w:rsidRPr="002F47FF">
              <w:rPr>
                <w:color w:val="000000" w:themeColor="text1"/>
                <w:sz w:val="20"/>
                <w:szCs w:val="20"/>
              </w:rPr>
              <w:t>Section 6.3, Updated labeling requirements information.</w:t>
            </w:r>
          </w:p>
          <w:p w14:paraId="5251613C" w14:textId="5534A422" w:rsidR="001362D7" w:rsidRPr="002F47FF" w:rsidRDefault="001362D7" w:rsidP="001362D7">
            <w:pPr>
              <w:rPr>
                <w:color w:val="000000" w:themeColor="text1"/>
                <w:sz w:val="20"/>
                <w:szCs w:val="20"/>
              </w:rPr>
            </w:pPr>
            <w:r w:rsidRPr="002F47FF">
              <w:rPr>
                <w:color w:val="000000" w:themeColor="text1"/>
                <w:sz w:val="20"/>
                <w:szCs w:val="20"/>
              </w:rPr>
              <w:t>Section 8.2, Moved Record Retention to new section 8.3; Created new section 8.2 for Study Product Management Plan (SPMP) Documents.</w:t>
            </w:r>
          </w:p>
          <w:p w14:paraId="170C12B1" w14:textId="6A1167A7" w:rsidR="001362D7" w:rsidRPr="002F47FF" w:rsidRDefault="001362D7" w:rsidP="001362D7">
            <w:pPr>
              <w:rPr>
                <w:color w:val="000000" w:themeColor="text1"/>
                <w:sz w:val="20"/>
                <w:szCs w:val="20"/>
              </w:rPr>
            </w:pPr>
            <w:r w:rsidRPr="002F47FF">
              <w:rPr>
                <w:color w:val="000000" w:themeColor="text1"/>
                <w:sz w:val="20"/>
                <w:szCs w:val="20"/>
              </w:rPr>
              <w:t>Section 8.2.1, Created new section Study Product Management Plan (SPMP).</w:t>
            </w:r>
          </w:p>
          <w:p w14:paraId="4535C640" w14:textId="7E3C4376" w:rsidR="001362D7" w:rsidRPr="002F47FF" w:rsidRDefault="001362D7" w:rsidP="001362D7">
            <w:pPr>
              <w:rPr>
                <w:color w:val="000000" w:themeColor="text1"/>
                <w:sz w:val="20"/>
                <w:szCs w:val="20"/>
              </w:rPr>
            </w:pPr>
            <w:r w:rsidRPr="002F47FF">
              <w:rPr>
                <w:color w:val="000000" w:themeColor="text1"/>
                <w:sz w:val="20"/>
                <w:szCs w:val="20"/>
              </w:rPr>
              <w:t>Section 8.2.2, Created new section Study Product Management Plan (SPMP) Modules.</w:t>
            </w:r>
          </w:p>
          <w:p w14:paraId="3B0356B3" w14:textId="799891F1" w:rsidR="001362D7" w:rsidRPr="002F47FF" w:rsidRDefault="001362D7" w:rsidP="001362D7">
            <w:pPr>
              <w:rPr>
                <w:color w:val="000000" w:themeColor="text1"/>
                <w:sz w:val="20"/>
                <w:szCs w:val="20"/>
              </w:rPr>
            </w:pPr>
            <w:r w:rsidRPr="002F47FF">
              <w:rPr>
                <w:color w:val="000000" w:themeColor="text1"/>
                <w:sz w:val="20"/>
                <w:szCs w:val="20"/>
              </w:rPr>
              <w:t>Section 9, Deleted Quality Management section.</w:t>
            </w:r>
          </w:p>
          <w:p w14:paraId="0A21D584" w14:textId="6D23CE1F" w:rsidR="001362D7" w:rsidRPr="002F47FF" w:rsidRDefault="001362D7" w:rsidP="001362D7">
            <w:pPr>
              <w:rPr>
                <w:color w:val="000000" w:themeColor="text1"/>
                <w:sz w:val="20"/>
                <w:szCs w:val="20"/>
              </w:rPr>
            </w:pPr>
            <w:r w:rsidRPr="002F47FF">
              <w:rPr>
                <w:color w:val="000000" w:themeColor="text1"/>
                <w:sz w:val="20"/>
                <w:szCs w:val="20"/>
              </w:rPr>
              <w:t xml:space="preserve">Section 10, </w:t>
            </w:r>
            <w:r w:rsidR="00E40646">
              <w:rPr>
                <w:color w:val="000000" w:themeColor="text1"/>
                <w:sz w:val="20"/>
                <w:szCs w:val="20"/>
              </w:rPr>
              <w:t xml:space="preserve">Deleted Protocol </w:t>
            </w:r>
            <w:r w:rsidR="0074162C">
              <w:rPr>
                <w:color w:val="000000" w:themeColor="text1"/>
                <w:sz w:val="20"/>
                <w:szCs w:val="20"/>
              </w:rPr>
              <w:t xml:space="preserve">Deviations section; </w:t>
            </w:r>
            <w:r w:rsidRPr="002F47FF">
              <w:rPr>
                <w:color w:val="000000" w:themeColor="text1"/>
                <w:sz w:val="20"/>
                <w:szCs w:val="20"/>
              </w:rPr>
              <w:t xml:space="preserve">Moved prior section 11 Additional Considerations/Responsibilities </w:t>
            </w:r>
            <w:r w:rsidR="00985859" w:rsidRPr="002F47FF">
              <w:rPr>
                <w:color w:val="000000" w:themeColor="text1"/>
                <w:sz w:val="20"/>
                <w:szCs w:val="20"/>
              </w:rPr>
              <w:t>to section</w:t>
            </w:r>
            <w:r w:rsidR="00D92F7F">
              <w:rPr>
                <w:color w:val="000000" w:themeColor="text1"/>
                <w:sz w:val="20"/>
                <w:szCs w:val="20"/>
              </w:rPr>
              <w:t xml:space="preserve"> 9</w:t>
            </w:r>
            <w:r w:rsidR="006A3C3A">
              <w:rPr>
                <w:color w:val="000000" w:themeColor="text1"/>
                <w:sz w:val="20"/>
                <w:szCs w:val="20"/>
              </w:rPr>
              <w:t xml:space="preserve">; </w:t>
            </w:r>
            <w:r w:rsidR="00C95EA0">
              <w:rPr>
                <w:color w:val="000000" w:themeColor="text1"/>
                <w:sz w:val="20"/>
                <w:szCs w:val="20"/>
              </w:rPr>
              <w:t>section 10 is References</w:t>
            </w:r>
            <w:r w:rsidRPr="002F47FF">
              <w:rPr>
                <w:color w:val="000000" w:themeColor="text1"/>
                <w:sz w:val="20"/>
                <w:szCs w:val="20"/>
              </w:rPr>
              <w:t>.</w:t>
            </w:r>
          </w:p>
          <w:p w14:paraId="4F08DD2D" w14:textId="11B88B3C" w:rsidR="001362D7" w:rsidRPr="002F47FF" w:rsidRDefault="001362D7" w:rsidP="001362D7">
            <w:pPr>
              <w:rPr>
                <w:color w:val="000000" w:themeColor="text1"/>
                <w:sz w:val="20"/>
                <w:szCs w:val="20"/>
              </w:rPr>
            </w:pPr>
            <w:r w:rsidRPr="002F47FF">
              <w:rPr>
                <w:color w:val="000000" w:themeColor="text1"/>
                <w:sz w:val="20"/>
                <w:szCs w:val="20"/>
              </w:rPr>
              <w:t xml:space="preserve">Section 11, </w:t>
            </w:r>
            <w:r w:rsidR="00B2467D">
              <w:rPr>
                <w:color w:val="000000" w:themeColor="text1"/>
                <w:sz w:val="20"/>
                <w:szCs w:val="20"/>
              </w:rPr>
              <w:t>References, m</w:t>
            </w:r>
            <w:r w:rsidRPr="002F47FF">
              <w:rPr>
                <w:color w:val="000000" w:themeColor="text1"/>
                <w:sz w:val="20"/>
                <w:szCs w:val="20"/>
              </w:rPr>
              <w:t xml:space="preserve">oved </w:t>
            </w:r>
            <w:r w:rsidR="00B2467D">
              <w:rPr>
                <w:color w:val="000000" w:themeColor="text1"/>
                <w:sz w:val="20"/>
                <w:szCs w:val="20"/>
              </w:rPr>
              <w:t xml:space="preserve">to </w:t>
            </w:r>
            <w:r w:rsidRPr="002F47FF">
              <w:rPr>
                <w:color w:val="000000" w:themeColor="text1"/>
                <w:sz w:val="20"/>
                <w:szCs w:val="20"/>
              </w:rPr>
              <w:t xml:space="preserve">section </w:t>
            </w:r>
            <w:r w:rsidR="00C95EA0">
              <w:rPr>
                <w:color w:val="000000" w:themeColor="text1"/>
                <w:sz w:val="20"/>
                <w:szCs w:val="20"/>
              </w:rPr>
              <w:t>10</w:t>
            </w:r>
            <w:r w:rsidR="00985859" w:rsidRPr="002F47FF">
              <w:rPr>
                <w:color w:val="000000" w:themeColor="text1"/>
                <w:sz w:val="20"/>
                <w:szCs w:val="20"/>
              </w:rPr>
              <w:t>; a</w:t>
            </w:r>
            <w:r w:rsidRPr="002F47FF">
              <w:rPr>
                <w:color w:val="000000" w:themeColor="text1"/>
                <w:sz w:val="20"/>
                <w:szCs w:val="20"/>
              </w:rPr>
              <w:t>dded new references</w:t>
            </w:r>
            <w:r w:rsidR="00E76274">
              <w:rPr>
                <w:color w:val="000000" w:themeColor="text1"/>
                <w:sz w:val="20"/>
                <w:szCs w:val="20"/>
              </w:rPr>
              <w:t xml:space="preserve"> for</w:t>
            </w:r>
            <w:r w:rsidRPr="002F47FF">
              <w:rPr>
                <w:color w:val="000000" w:themeColor="text1"/>
                <w:sz w:val="20"/>
                <w:szCs w:val="20"/>
              </w:rPr>
              <w:t xml:space="preserve"> 1</w:t>
            </w:r>
            <w:r w:rsidR="00C828AE">
              <w:rPr>
                <w:color w:val="000000" w:themeColor="text1"/>
                <w:sz w:val="20"/>
                <w:szCs w:val="20"/>
              </w:rPr>
              <w:t>0</w:t>
            </w:r>
            <w:r w:rsidRPr="002F47FF">
              <w:rPr>
                <w:color w:val="000000" w:themeColor="text1"/>
                <w:sz w:val="20"/>
                <w:szCs w:val="20"/>
              </w:rPr>
              <w:t>.1 Code of Federal Regulations Title 21 Part 50</w:t>
            </w:r>
            <w:r w:rsidR="003D0ED7">
              <w:rPr>
                <w:color w:val="000000" w:themeColor="text1"/>
                <w:sz w:val="20"/>
                <w:szCs w:val="20"/>
              </w:rPr>
              <w:t>;</w:t>
            </w:r>
            <w:r w:rsidR="005D6A29">
              <w:rPr>
                <w:color w:val="000000" w:themeColor="text1"/>
                <w:sz w:val="20"/>
                <w:szCs w:val="20"/>
              </w:rPr>
              <w:t xml:space="preserve"> </w:t>
            </w:r>
            <w:r w:rsidRPr="002F47FF">
              <w:rPr>
                <w:color w:val="000000" w:themeColor="text1"/>
                <w:sz w:val="20"/>
                <w:szCs w:val="20"/>
              </w:rPr>
              <w:t xml:space="preserve"> </w:t>
            </w:r>
            <w:r w:rsidR="00F5594B">
              <w:rPr>
                <w:color w:val="000000" w:themeColor="text1"/>
                <w:sz w:val="20"/>
                <w:szCs w:val="20"/>
              </w:rPr>
              <w:t xml:space="preserve">10.14 </w:t>
            </w:r>
            <w:r w:rsidR="00BC2A12" w:rsidRPr="00BC2A12">
              <w:rPr>
                <w:color w:val="000000" w:themeColor="text1"/>
                <w:sz w:val="20"/>
                <w:szCs w:val="20"/>
              </w:rPr>
              <w:t xml:space="preserve"> CDC Vaccine Storage and Handling Toolkit</w:t>
            </w:r>
            <w:r w:rsidR="00BC2A12">
              <w:rPr>
                <w:color w:val="000000" w:themeColor="text1"/>
                <w:sz w:val="20"/>
                <w:szCs w:val="20"/>
              </w:rPr>
              <w:t xml:space="preserve">, </w:t>
            </w:r>
            <w:r w:rsidR="003D0ED7">
              <w:rPr>
                <w:color w:val="000000" w:themeColor="text1"/>
                <w:sz w:val="20"/>
                <w:szCs w:val="20"/>
              </w:rPr>
              <w:t xml:space="preserve">10.15 </w:t>
            </w:r>
            <w:r w:rsidR="00F5594B" w:rsidRPr="00F5594B">
              <w:rPr>
                <w:color w:val="000000" w:themeColor="text1"/>
                <w:sz w:val="20"/>
                <w:szCs w:val="20"/>
              </w:rPr>
              <w:t>DMID PST Temperature Excursion Reporting Form</w:t>
            </w:r>
            <w:r w:rsidRPr="002F47FF">
              <w:rPr>
                <w:color w:val="000000" w:themeColor="text1"/>
                <w:sz w:val="20"/>
                <w:szCs w:val="20"/>
              </w:rPr>
              <w:t xml:space="preserve">; </w:t>
            </w:r>
            <w:r w:rsidR="00F7516B">
              <w:rPr>
                <w:color w:val="000000" w:themeColor="text1"/>
                <w:sz w:val="20"/>
                <w:szCs w:val="20"/>
              </w:rPr>
              <w:t xml:space="preserve">and </w:t>
            </w:r>
            <w:r w:rsidR="005B2F3F">
              <w:rPr>
                <w:color w:val="000000" w:themeColor="text1"/>
                <w:sz w:val="20"/>
                <w:szCs w:val="20"/>
              </w:rPr>
              <w:t xml:space="preserve">10.16 </w:t>
            </w:r>
            <w:r w:rsidR="005B2F3F" w:rsidRPr="005B2F3F">
              <w:rPr>
                <w:color w:val="000000" w:themeColor="text1"/>
                <w:sz w:val="20"/>
                <w:szCs w:val="20"/>
              </w:rPr>
              <w:t>FDA Guidance: Standardization of Data and Documentation Practices for Product Tracing Guidance for Industry</w:t>
            </w:r>
            <w:r w:rsidR="00F7516B">
              <w:rPr>
                <w:color w:val="000000" w:themeColor="text1"/>
                <w:sz w:val="20"/>
                <w:szCs w:val="20"/>
              </w:rPr>
              <w:t xml:space="preserve">; </w:t>
            </w:r>
            <w:r w:rsidRPr="002F47FF">
              <w:rPr>
                <w:color w:val="000000" w:themeColor="text1"/>
                <w:sz w:val="20"/>
                <w:szCs w:val="20"/>
              </w:rPr>
              <w:t>updated hyperlinks.</w:t>
            </w:r>
          </w:p>
          <w:p w14:paraId="04F1A5E7" w14:textId="36AAE67C" w:rsidR="00051EA4" w:rsidRPr="002F47FF" w:rsidRDefault="001362D7" w:rsidP="001362D7">
            <w:pPr>
              <w:rPr>
                <w:color w:val="000000" w:themeColor="text1"/>
                <w:sz w:val="20"/>
                <w:szCs w:val="20"/>
              </w:rPr>
            </w:pPr>
            <w:r w:rsidRPr="002F47FF">
              <w:rPr>
                <w:color w:val="000000" w:themeColor="text1"/>
                <w:sz w:val="20"/>
                <w:szCs w:val="20"/>
              </w:rPr>
              <w:t xml:space="preserve">Section 12, </w:t>
            </w:r>
            <w:r w:rsidR="00364D6C">
              <w:rPr>
                <w:color w:val="000000" w:themeColor="text1"/>
                <w:sz w:val="20"/>
                <w:szCs w:val="20"/>
              </w:rPr>
              <w:t>Availability, m</w:t>
            </w:r>
            <w:r w:rsidRPr="002F47FF">
              <w:rPr>
                <w:color w:val="000000" w:themeColor="text1"/>
                <w:sz w:val="20"/>
                <w:szCs w:val="20"/>
              </w:rPr>
              <w:t xml:space="preserve">oved </w:t>
            </w:r>
            <w:r w:rsidR="00364D6C">
              <w:rPr>
                <w:color w:val="000000" w:themeColor="text1"/>
                <w:sz w:val="20"/>
                <w:szCs w:val="20"/>
              </w:rPr>
              <w:t>to</w:t>
            </w:r>
            <w:r w:rsidR="00364D6C" w:rsidRPr="002F47FF">
              <w:rPr>
                <w:color w:val="000000" w:themeColor="text1"/>
                <w:sz w:val="20"/>
                <w:szCs w:val="20"/>
              </w:rPr>
              <w:t xml:space="preserve"> </w:t>
            </w:r>
            <w:r w:rsidRPr="002F47FF">
              <w:rPr>
                <w:color w:val="000000" w:themeColor="text1"/>
                <w:sz w:val="20"/>
                <w:szCs w:val="20"/>
              </w:rPr>
              <w:t>section 1</w:t>
            </w:r>
            <w:r w:rsidR="003563B1">
              <w:rPr>
                <w:color w:val="000000" w:themeColor="text1"/>
                <w:sz w:val="20"/>
                <w:szCs w:val="20"/>
              </w:rPr>
              <w:t>1</w:t>
            </w:r>
            <w:r w:rsidRPr="002F47FF">
              <w:rPr>
                <w:color w:val="000000" w:themeColor="text1"/>
                <w:sz w:val="20"/>
                <w:szCs w:val="20"/>
              </w:rPr>
              <w:t>.</w:t>
            </w:r>
          </w:p>
        </w:tc>
      </w:tr>
    </w:tbl>
    <w:sdt>
      <w:sdtPr>
        <w:rPr>
          <w:rFonts w:ascii="Aptos" w:eastAsiaTheme="minorEastAsia" w:hAnsi="Aptos" w:cstheme="minorBidi"/>
          <w:color w:val="auto"/>
          <w:sz w:val="22"/>
          <w:szCs w:val="22"/>
        </w:rPr>
        <w:id w:val="1119026428"/>
        <w:docPartObj>
          <w:docPartGallery w:val="Table of Contents"/>
          <w:docPartUnique/>
        </w:docPartObj>
      </w:sdtPr>
      <w:sdtEndPr>
        <w:rPr>
          <w:b/>
        </w:rPr>
      </w:sdtEndPr>
      <w:sdtContent>
        <w:p w14:paraId="3FBC15E6" w14:textId="239493B1" w:rsidR="005C0ED2" w:rsidRPr="007528C7" w:rsidRDefault="614A1AC0" w:rsidP="00871E3F">
          <w:pPr>
            <w:pStyle w:val="TOCHeading"/>
            <w:jc w:val="center"/>
          </w:pPr>
          <w:r w:rsidRPr="007528C7">
            <w:t>Table of Contents</w:t>
          </w:r>
        </w:p>
        <w:p w14:paraId="3BAE1753" w14:textId="2A196F4C" w:rsidR="00083FE3" w:rsidRDefault="005C0ED2">
          <w:pPr>
            <w:pStyle w:val="TOC2"/>
            <w:tabs>
              <w:tab w:val="right" w:leader="dot" w:pos="9910"/>
            </w:tabs>
            <w:rPr>
              <w:rFonts w:asciiTheme="minorHAnsi" w:eastAsiaTheme="minorEastAsia" w:hAnsiTheme="minorHAnsi" w:cstheme="minorBidi"/>
              <w:noProof/>
              <w:kern w:val="2"/>
              <w:sz w:val="24"/>
              <w:lang w:bidi="ar-SA"/>
              <w14:ligatures w14:val="standardContextual"/>
            </w:rPr>
          </w:pPr>
          <w:r>
            <w:fldChar w:fldCharType="begin"/>
          </w:r>
          <w:r>
            <w:instrText xml:space="preserve"> TOC \o "1-3" \h \z \u </w:instrText>
          </w:r>
          <w:r>
            <w:fldChar w:fldCharType="separate"/>
          </w:r>
          <w:hyperlink w:anchor="_Toc224716363" w:history="1">
            <w:r w:rsidR="00083FE3" w:rsidRPr="007800D6">
              <w:rPr>
                <w:rStyle w:val="Hyperlink"/>
                <w:noProof/>
              </w:rPr>
              <w:t>Table 1 Change Summary</w:t>
            </w:r>
            <w:r w:rsidR="00083FE3">
              <w:rPr>
                <w:noProof/>
                <w:webHidden/>
              </w:rPr>
              <w:tab/>
            </w:r>
            <w:r w:rsidR="00083FE3">
              <w:rPr>
                <w:noProof/>
                <w:webHidden/>
              </w:rPr>
              <w:fldChar w:fldCharType="begin"/>
            </w:r>
            <w:r w:rsidR="00083FE3">
              <w:rPr>
                <w:noProof/>
                <w:webHidden/>
              </w:rPr>
              <w:instrText xml:space="preserve"> PAGEREF _Toc224716363 \h </w:instrText>
            </w:r>
            <w:r w:rsidR="00083FE3">
              <w:rPr>
                <w:noProof/>
                <w:webHidden/>
              </w:rPr>
            </w:r>
            <w:r w:rsidR="00083FE3">
              <w:rPr>
                <w:noProof/>
                <w:webHidden/>
              </w:rPr>
              <w:fldChar w:fldCharType="separate"/>
            </w:r>
            <w:r w:rsidR="00083FE3">
              <w:rPr>
                <w:noProof/>
                <w:webHidden/>
              </w:rPr>
              <w:t>2</w:t>
            </w:r>
            <w:r w:rsidR="00083FE3">
              <w:rPr>
                <w:noProof/>
                <w:webHidden/>
              </w:rPr>
              <w:fldChar w:fldCharType="end"/>
            </w:r>
          </w:hyperlink>
        </w:p>
        <w:p w14:paraId="20C1AECF" w14:textId="2D08B573" w:rsidR="00083FE3" w:rsidRDefault="00083FE3">
          <w:pPr>
            <w:pStyle w:val="TOC2"/>
            <w:tabs>
              <w:tab w:val="right" w:leader="dot" w:pos="9910"/>
            </w:tabs>
            <w:rPr>
              <w:rFonts w:asciiTheme="minorHAnsi" w:eastAsiaTheme="minorEastAsia" w:hAnsiTheme="minorHAnsi" w:cstheme="minorBidi"/>
              <w:noProof/>
              <w:kern w:val="2"/>
              <w:sz w:val="24"/>
              <w:lang w:bidi="ar-SA"/>
              <w14:ligatures w14:val="standardContextual"/>
            </w:rPr>
          </w:pPr>
          <w:hyperlink w:anchor="_Toc224716364" w:history="1">
            <w:r w:rsidRPr="007800D6">
              <w:rPr>
                <w:rStyle w:val="Hyperlink"/>
                <w:noProof/>
              </w:rPr>
              <w:t>Table 2 List of Abbreviations</w:t>
            </w:r>
            <w:r>
              <w:rPr>
                <w:noProof/>
                <w:webHidden/>
              </w:rPr>
              <w:tab/>
            </w:r>
            <w:r>
              <w:rPr>
                <w:noProof/>
                <w:webHidden/>
              </w:rPr>
              <w:fldChar w:fldCharType="begin"/>
            </w:r>
            <w:r>
              <w:rPr>
                <w:noProof/>
                <w:webHidden/>
              </w:rPr>
              <w:instrText xml:space="preserve"> PAGEREF _Toc224716364 \h </w:instrText>
            </w:r>
            <w:r>
              <w:rPr>
                <w:noProof/>
                <w:webHidden/>
              </w:rPr>
            </w:r>
            <w:r>
              <w:rPr>
                <w:noProof/>
                <w:webHidden/>
              </w:rPr>
              <w:fldChar w:fldCharType="separate"/>
            </w:r>
            <w:r>
              <w:rPr>
                <w:noProof/>
                <w:webHidden/>
              </w:rPr>
              <w:t>5</w:t>
            </w:r>
            <w:r>
              <w:rPr>
                <w:noProof/>
                <w:webHidden/>
              </w:rPr>
              <w:fldChar w:fldCharType="end"/>
            </w:r>
          </w:hyperlink>
        </w:p>
        <w:p w14:paraId="415C0501" w14:textId="3DCA3E0D" w:rsidR="00083FE3" w:rsidRDefault="00083FE3">
          <w:pPr>
            <w:pStyle w:val="TOC2"/>
            <w:tabs>
              <w:tab w:val="right" w:leader="dot" w:pos="9910"/>
            </w:tabs>
            <w:rPr>
              <w:rFonts w:asciiTheme="minorHAnsi" w:eastAsiaTheme="minorEastAsia" w:hAnsiTheme="minorHAnsi" w:cstheme="minorBidi"/>
              <w:noProof/>
              <w:kern w:val="2"/>
              <w:sz w:val="24"/>
              <w:lang w:bidi="ar-SA"/>
              <w14:ligatures w14:val="standardContextual"/>
            </w:rPr>
          </w:pPr>
          <w:hyperlink w:anchor="_Toc224716365" w:history="1">
            <w:r w:rsidRPr="007800D6">
              <w:rPr>
                <w:rStyle w:val="Hyperlink"/>
                <w:noProof/>
              </w:rPr>
              <w:t>Table 3 Glossary of Terms</w:t>
            </w:r>
            <w:r>
              <w:rPr>
                <w:noProof/>
                <w:webHidden/>
              </w:rPr>
              <w:tab/>
            </w:r>
            <w:r>
              <w:rPr>
                <w:noProof/>
                <w:webHidden/>
              </w:rPr>
              <w:fldChar w:fldCharType="begin"/>
            </w:r>
            <w:r>
              <w:rPr>
                <w:noProof/>
                <w:webHidden/>
              </w:rPr>
              <w:instrText xml:space="preserve"> PAGEREF _Toc224716365 \h </w:instrText>
            </w:r>
            <w:r>
              <w:rPr>
                <w:noProof/>
                <w:webHidden/>
              </w:rPr>
            </w:r>
            <w:r>
              <w:rPr>
                <w:noProof/>
                <w:webHidden/>
              </w:rPr>
              <w:fldChar w:fldCharType="separate"/>
            </w:r>
            <w:r>
              <w:rPr>
                <w:noProof/>
                <w:webHidden/>
              </w:rPr>
              <w:t>6</w:t>
            </w:r>
            <w:r>
              <w:rPr>
                <w:noProof/>
                <w:webHidden/>
              </w:rPr>
              <w:fldChar w:fldCharType="end"/>
            </w:r>
          </w:hyperlink>
        </w:p>
        <w:p w14:paraId="0238CDFC" w14:textId="33CBF8FB" w:rsidR="00083FE3" w:rsidRDefault="00083FE3">
          <w:pPr>
            <w:pStyle w:val="TOC2"/>
            <w:tabs>
              <w:tab w:val="right" w:leader="dot" w:pos="9910"/>
            </w:tabs>
            <w:rPr>
              <w:rFonts w:asciiTheme="minorHAnsi" w:eastAsiaTheme="minorEastAsia" w:hAnsiTheme="minorHAnsi" w:cstheme="minorBidi"/>
              <w:noProof/>
              <w:kern w:val="2"/>
              <w:sz w:val="24"/>
              <w:lang w:bidi="ar-SA"/>
              <w14:ligatures w14:val="standardContextual"/>
            </w:rPr>
          </w:pPr>
          <w:hyperlink w:anchor="_Toc224716366" w:history="1">
            <w:r w:rsidRPr="007800D6">
              <w:rPr>
                <w:rStyle w:val="Hyperlink"/>
                <w:noProof/>
              </w:rPr>
              <w:t>Table 4 Investigational Product Storage Conditions and Temperature Definitions*</w:t>
            </w:r>
            <w:r>
              <w:rPr>
                <w:noProof/>
                <w:webHidden/>
              </w:rPr>
              <w:tab/>
            </w:r>
            <w:r>
              <w:rPr>
                <w:noProof/>
                <w:webHidden/>
              </w:rPr>
              <w:fldChar w:fldCharType="begin"/>
            </w:r>
            <w:r>
              <w:rPr>
                <w:noProof/>
                <w:webHidden/>
              </w:rPr>
              <w:instrText xml:space="preserve"> PAGEREF _Toc224716366 \h </w:instrText>
            </w:r>
            <w:r>
              <w:rPr>
                <w:noProof/>
                <w:webHidden/>
              </w:rPr>
            </w:r>
            <w:r>
              <w:rPr>
                <w:noProof/>
                <w:webHidden/>
              </w:rPr>
              <w:fldChar w:fldCharType="separate"/>
            </w:r>
            <w:r>
              <w:rPr>
                <w:noProof/>
                <w:webHidden/>
              </w:rPr>
              <w:t>9</w:t>
            </w:r>
            <w:r>
              <w:rPr>
                <w:noProof/>
                <w:webHidden/>
              </w:rPr>
              <w:fldChar w:fldCharType="end"/>
            </w:r>
          </w:hyperlink>
        </w:p>
        <w:p w14:paraId="5842EF1F" w14:textId="43870823" w:rsidR="00083FE3" w:rsidRDefault="00083FE3">
          <w:pPr>
            <w:pStyle w:val="TOC1"/>
            <w:tabs>
              <w:tab w:val="right" w:leader="dot" w:pos="9910"/>
            </w:tabs>
            <w:rPr>
              <w:rFonts w:asciiTheme="minorHAnsi" w:eastAsiaTheme="minorEastAsia" w:hAnsiTheme="minorHAnsi" w:cstheme="minorBidi"/>
              <w:noProof/>
              <w:kern w:val="2"/>
              <w:sz w:val="24"/>
              <w:lang w:bidi="ar-SA"/>
              <w14:ligatures w14:val="standardContextual"/>
            </w:rPr>
          </w:pPr>
          <w:hyperlink w:anchor="_Toc224716367" w:history="1">
            <w:r w:rsidRPr="007800D6">
              <w:rPr>
                <w:rStyle w:val="Hyperlink"/>
                <w:noProof/>
              </w:rPr>
              <w:t>1.</w:t>
            </w:r>
            <w:r>
              <w:rPr>
                <w:rFonts w:asciiTheme="minorHAnsi" w:eastAsiaTheme="minorEastAsia" w:hAnsiTheme="minorHAnsi" w:cstheme="minorBidi"/>
                <w:noProof/>
                <w:kern w:val="2"/>
                <w:sz w:val="24"/>
                <w:lang w:bidi="ar-SA"/>
                <w14:ligatures w14:val="standardContextual"/>
              </w:rPr>
              <w:tab/>
            </w:r>
            <w:r w:rsidRPr="007800D6">
              <w:rPr>
                <w:rStyle w:val="Hyperlink"/>
                <w:noProof/>
              </w:rPr>
              <w:t>Introduction</w:t>
            </w:r>
            <w:r>
              <w:rPr>
                <w:noProof/>
                <w:webHidden/>
              </w:rPr>
              <w:tab/>
            </w:r>
            <w:r>
              <w:rPr>
                <w:noProof/>
                <w:webHidden/>
              </w:rPr>
              <w:fldChar w:fldCharType="begin"/>
            </w:r>
            <w:r>
              <w:rPr>
                <w:noProof/>
                <w:webHidden/>
              </w:rPr>
              <w:instrText xml:space="preserve"> PAGEREF _Toc224716367 \h </w:instrText>
            </w:r>
            <w:r>
              <w:rPr>
                <w:noProof/>
                <w:webHidden/>
              </w:rPr>
            </w:r>
            <w:r>
              <w:rPr>
                <w:noProof/>
                <w:webHidden/>
              </w:rPr>
              <w:fldChar w:fldCharType="separate"/>
            </w:r>
            <w:r>
              <w:rPr>
                <w:noProof/>
                <w:webHidden/>
              </w:rPr>
              <w:t>10</w:t>
            </w:r>
            <w:r>
              <w:rPr>
                <w:noProof/>
                <w:webHidden/>
              </w:rPr>
              <w:fldChar w:fldCharType="end"/>
            </w:r>
          </w:hyperlink>
        </w:p>
        <w:p w14:paraId="1ADC6969" w14:textId="4CA84AFA" w:rsidR="00083FE3" w:rsidRDefault="00083FE3">
          <w:pPr>
            <w:pStyle w:val="TOC1"/>
            <w:tabs>
              <w:tab w:val="right" w:leader="dot" w:pos="9910"/>
            </w:tabs>
            <w:rPr>
              <w:rFonts w:asciiTheme="minorHAnsi" w:eastAsiaTheme="minorEastAsia" w:hAnsiTheme="minorHAnsi" w:cstheme="minorBidi"/>
              <w:noProof/>
              <w:kern w:val="2"/>
              <w:sz w:val="24"/>
              <w:lang w:bidi="ar-SA"/>
              <w14:ligatures w14:val="standardContextual"/>
            </w:rPr>
          </w:pPr>
          <w:hyperlink w:anchor="_Toc224716368" w:history="1">
            <w:r w:rsidRPr="007800D6">
              <w:rPr>
                <w:rStyle w:val="Hyperlink"/>
                <w:noProof/>
              </w:rPr>
              <w:t>2.</w:t>
            </w:r>
            <w:r>
              <w:rPr>
                <w:rFonts w:asciiTheme="minorHAnsi" w:eastAsiaTheme="minorEastAsia" w:hAnsiTheme="minorHAnsi" w:cstheme="minorBidi"/>
                <w:noProof/>
                <w:kern w:val="2"/>
                <w:sz w:val="24"/>
                <w:lang w:bidi="ar-SA"/>
                <w14:ligatures w14:val="standardContextual"/>
              </w:rPr>
              <w:tab/>
            </w:r>
            <w:r w:rsidRPr="007800D6">
              <w:rPr>
                <w:rStyle w:val="Hyperlink"/>
                <w:noProof/>
              </w:rPr>
              <w:t>Essential Information Required for Investigational Products</w:t>
            </w:r>
            <w:r>
              <w:rPr>
                <w:noProof/>
                <w:webHidden/>
              </w:rPr>
              <w:tab/>
            </w:r>
            <w:r>
              <w:rPr>
                <w:noProof/>
                <w:webHidden/>
              </w:rPr>
              <w:fldChar w:fldCharType="begin"/>
            </w:r>
            <w:r>
              <w:rPr>
                <w:noProof/>
                <w:webHidden/>
              </w:rPr>
              <w:instrText xml:space="preserve"> PAGEREF _Toc224716368 \h </w:instrText>
            </w:r>
            <w:r>
              <w:rPr>
                <w:noProof/>
                <w:webHidden/>
              </w:rPr>
            </w:r>
            <w:r>
              <w:rPr>
                <w:noProof/>
                <w:webHidden/>
              </w:rPr>
              <w:fldChar w:fldCharType="separate"/>
            </w:r>
            <w:r>
              <w:rPr>
                <w:noProof/>
                <w:webHidden/>
              </w:rPr>
              <w:t>13</w:t>
            </w:r>
            <w:r>
              <w:rPr>
                <w:noProof/>
                <w:webHidden/>
              </w:rPr>
              <w:fldChar w:fldCharType="end"/>
            </w:r>
          </w:hyperlink>
        </w:p>
        <w:p w14:paraId="14C48FE7" w14:textId="175F4299" w:rsidR="00083FE3" w:rsidRDefault="00083FE3">
          <w:pPr>
            <w:pStyle w:val="TOC1"/>
            <w:tabs>
              <w:tab w:val="right" w:leader="dot" w:pos="9910"/>
            </w:tabs>
            <w:rPr>
              <w:rFonts w:asciiTheme="minorHAnsi" w:eastAsiaTheme="minorEastAsia" w:hAnsiTheme="minorHAnsi" w:cstheme="minorBidi"/>
              <w:noProof/>
              <w:kern w:val="2"/>
              <w:sz w:val="24"/>
              <w:lang w:bidi="ar-SA"/>
              <w14:ligatures w14:val="standardContextual"/>
            </w:rPr>
          </w:pPr>
          <w:hyperlink w:anchor="_Toc224716369" w:history="1">
            <w:r w:rsidRPr="007800D6">
              <w:rPr>
                <w:rStyle w:val="Hyperlink"/>
                <w:noProof/>
              </w:rPr>
              <w:t>3.</w:t>
            </w:r>
            <w:r>
              <w:rPr>
                <w:rFonts w:asciiTheme="minorHAnsi" w:eastAsiaTheme="minorEastAsia" w:hAnsiTheme="minorHAnsi" w:cstheme="minorBidi"/>
                <w:noProof/>
                <w:kern w:val="2"/>
                <w:sz w:val="24"/>
                <w:lang w:bidi="ar-SA"/>
                <w14:ligatures w14:val="standardContextual"/>
              </w:rPr>
              <w:tab/>
            </w:r>
            <w:r w:rsidRPr="007800D6">
              <w:rPr>
                <w:rStyle w:val="Hyperlink"/>
                <w:noProof/>
              </w:rPr>
              <w:t>Accountability and Inventory Control</w:t>
            </w:r>
            <w:r>
              <w:rPr>
                <w:noProof/>
                <w:webHidden/>
              </w:rPr>
              <w:tab/>
            </w:r>
            <w:r>
              <w:rPr>
                <w:noProof/>
                <w:webHidden/>
              </w:rPr>
              <w:fldChar w:fldCharType="begin"/>
            </w:r>
            <w:r>
              <w:rPr>
                <w:noProof/>
                <w:webHidden/>
              </w:rPr>
              <w:instrText xml:space="preserve"> PAGEREF _Toc224716369 \h </w:instrText>
            </w:r>
            <w:r>
              <w:rPr>
                <w:noProof/>
                <w:webHidden/>
              </w:rPr>
            </w:r>
            <w:r>
              <w:rPr>
                <w:noProof/>
                <w:webHidden/>
              </w:rPr>
              <w:fldChar w:fldCharType="separate"/>
            </w:r>
            <w:r>
              <w:rPr>
                <w:noProof/>
                <w:webHidden/>
              </w:rPr>
              <w:t>14</w:t>
            </w:r>
            <w:r>
              <w:rPr>
                <w:noProof/>
                <w:webHidden/>
              </w:rPr>
              <w:fldChar w:fldCharType="end"/>
            </w:r>
          </w:hyperlink>
        </w:p>
        <w:p w14:paraId="53D15195" w14:textId="2DA1D228" w:rsidR="00083FE3" w:rsidRDefault="00083FE3">
          <w:pPr>
            <w:pStyle w:val="TOC1"/>
            <w:tabs>
              <w:tab w:val="right" w:leader="dot" w:pos="9910"/>
            </w:tabs>
            <w:rPr>
              <w:rFonts w:asciiTheme="minorHAnsi" w:eastAsiaTheme="minorEastAsia" w:hAnsiTheme="minorHAnsi" w:cstheme="minorBidi"/>
              <w:noProof/>
              <w:kern w:val="2"/>
              <w:sz w:val="24"/>
              <w:lang w:bidi="ar-SA"/>
              <w14:ligatures w14:val="standardContextual"/>
            </w:rPr>
          </w:pPr>
          <w:hyperlink w:anchor="_Toc224716370" w:history="1">
            <w:r w:rsidRPr="007800D6">
              <w:rPr>
                <w:rStyle w:val="Hyperlink"/>
                <w:noProof/>
              </w:rPr>
              <w:t>4.</w:t>
            </w:r>
            <w:r>
              <w:rPr>
                <w:rFonts w:asciiTheme="minorHAnsi" w:eastAsiaTheme="minorEastAsia" w:hAnsiTheme="minorHAnsi" w:cstheme="minorBidi"/>
                <w:noProof/>
                <w:kern w:val="2"/>
                <w:sz w:val="24"/>
                <w:lang w:bidi="ar-SA"/>
                <w14:ligatures w14:val="standardContextual"/>
              </w:rPr>
              <w:tab/>
            </w:r>
            <w:r w:rsidRPr="007800D6">
              <w:rPr>
                <w:rStyle w:val="Hyperlink"/>
                <w:noProof/>
              </w:rPr>
              <w:t>Storage of Investigational Product</w:t>
            </w:r>
            <w:r>
              <w:rPr>
                <w:noProof/>
                <w:webHidden/>
              </w:rPr>
              <w:tab/>
            </w:r>
            <w:r>
              <w:rPr>
                <w:noProof/>
                <w:webHidden/>
              </w:rPr>
              <w:fldChar w:fldCharType="begin"/>
            </w:r>
            <w:r>
              <w:rPr>
                <w:noProof/>
                <w:webHidden/>
              </w:rPr>
              <w:instrText xml:space="preserve"> PAGEREF _Toc224716370 \h </w:instrText>
            </w:r>
            <w:r>
              <w:rPr>
                <w:noProof/>
                <w:webHidden/>
              </w:rPr>
            </w:r>
            <w:r>
              <w:rPr>
                <w:noProof/>
                <w:webHidden/>
              </w:rPr>
              <w:fldChar w:fldCharType="separate"/>
            </w:r>
            <w:r>
              <w:rPr>
                <w:noProof/>
                <w:webHidden/>
              </w:rPr>
              <w:t>21</w:t>
            </w:r>
            <w:r>
              <w:rPr>
                <w:noProof/>
                <w:webHidden/>
              </w:rPr>
              <w:fldChar w:fldCharType="end"/>
            </w:r>
          </w:hyperlink>
        </w:p>
        <w:p w14:paraId="2033919B" w14:textId="3394D0CB" w:rsidR="00083FE3" w:rsidRDefault="00083FE3">
          <w:pPr>
            <w:pStyle w:val="TOC1"/>
            <w:tabs>
              <w:tab w:val="right" w:leader="dot" w:pos="9910"/>
            </w:tabs>
            <w:rPr>
              <w:rFonts w:asciiTheme="minorHAnsi" w:eastAsiaTheme="minorEastAsia" w:hAnsiTheme="minorHAnsi" w:cstheme="minorBidi"/>
              <w:noProof/>
              <w:kern w:val="2"/>
              <w:sz w:val="24"/>
              <w:lang w:bidi="ar-SA"/>
              <w14:ligatures w14:val="standardContextual"/>
            </w:rPr>
          </w:pPr>
          <w:hyperlink w:anchor="_Toc224716371" w:history="1">
            <w:r w:rsidRPr="007800D6">
              <w:rPr>
                <w:rStyle w:val="Hyperlink"/>
                <w:noProof/>
              </w:rPr>
              <w:t>5.</w:t>
            </w:r>
            <w:r>
              <w:rPr>
                <w:rFonts w:asciiTheme="minorHAnsi" w:eastAsiaTheme="minorEastAsia" w:hAnsiTheme="minorHAnsi" w:cstheme="minorBidi"/>
                <w:noProof/>
                <w:kern w:val="2"/>
                <w:sz w:val="24"/>
                <w:lang w:bidi="ar-SA"/>
                <w14:ligatures w14:val="standardContextual"/>
              </w:rPr>
              <w:tab/>
            </w:r>
            <w:r w:rsidRPr="007800D6">
              <w:rPr>
                <w:rStyle w:val="Hyperlink"/>
                <w:noProof/>
              </w:rPr>
              <w:t>Investigational Product Transport and Delivery</w:t>
            </w:r>
            <w:r>
              <w:rPr>
                <w:noProof/>
                <w:webHidden/>
              </w:rPr>
              <w:tab/>
            </w:r>
            <w:r>
              <w:rPr>
                <w:noProof/>
                <w:webHidden/>
              </w:rPr>
              <w:fldChar w:fldCharType="begin"/>
            </w:r>
            <w:r>
              <w:rPr>
                <w:noProof/>
                <w:webHidden/>
              </w:rPr>
              <w:instrText xml:space="preserve"> PAGEREF _Toc224716371 \h </w:instrText>
            </w:r>
            <w:r>
              <w:rPr>
                <w:noProof/>
                <w:webHidden/>
              </w:rPr>
            </w:r>
            <w:r>
              <w:rPr>
                <w:noProof/>
                <w:webHidden/>
              </w:rPr>
              <w:fldChar w:fldCharType="separate"/>
            </w:r>
            <w:r>
              <w:rPr>
                <w:noProof/>
                <w:webHidden/>
              </w:rPr>
              <w:t>26</w:t>
            </w:r>
            <w:r>
              <w:rPr>
                <w:noProof/>
                <w:webHidden/>
              </w:rPr>
              <w:fldChar w:fldCharType="end"/>
            </w:r>
          </w:hyperlink>
        </w:p>
        <w:p w14:paraId="75659DEE" w14:textId="71E2BFC9" w:rsidR="00083FE3" w:rsidRDefault="00083FE3">
          <w:pPr>
            <w:pStyle w:val="TOC1"/>
            <w:tabs>
              <w:tab w:val="right" w:leader="dot" w:pos="9910"/>
            </w:tabs>
            <w:rPr>
              <w:rFonts w:asciiTheme="minorHAnsi" w:eastAsiaTheme="minorEastAsia" w:hAnsiTheme="minorHAnsi" w:cstheme="minorBidi"/>
              <w:noProof/>
              <w:kern w:val="2"/>
              <w:sz w:val="24"/>
              <w:lang w:bidi="ar-SA"/>
              <w14:ligatures w14:val="standardContextual"/>
            </w:rPr>
          </w:pPr>
          <w:hyperlink w:anchor="_Toc224716372" w:history="1">
            <w:r w:rsidRPr="007800D6">
              <w:rPr>
                <w:rStyle w:val="Hyperlink"/>
                <w:noProof/>
              </w:rPr>
              <w:t>6.</w:t>
            </w:r>
            <w:r>
              <w:rPr>
                <w:rFonts w:asciiTheme="minorHAnsi" w:eastAsiaTheme="minorEastAsia" w:hAnsiTheme="minorHAnsi" w:cstheme="minorBidi"/>
                <w:noProof/>
                <w:kern w:val="2"/>
                <w:sz w:val="24"/>
                <w:lang w:bidi="ar-SA"/>
                <w14:ligatures w14:val="standardContextual"/>
              </w:rPr>
              <w:tab/>
            </w:r>
            <w:r w:rsidRPr="007800D6">
              <w:rPr>
                <w:rStyle w:val="Hyperlink"/>
                <w:noProof/>
              </w:rPr>
              <w:t>Preparation, Dispensation and Administration</w:t>
            </w:r>
            <w:r>
              <w:rPr>
                <w:noProof/>
                <w:webHidden/>
              </w:rPr>
              <w:tab/>
            </w:r>
            <w:r>
              <w:rPr>
                <w:noProof/>
                <w:webHidden/>
              </w:rPr>
              <w:fldChar w:fldCharType="begin"/>
            </w:r>
            <w:r>
              <w:rPr>
                <w:noProof/>
                <w:webHidden/>
              </w:rPr>
              <w:instrText xml:space="preserve"> PAGEREF _Toc224716372 \h </w:instrText>
            </w:r>
            <w:r>
              <w:rPr>
                <w:noProof/>
                <w:webHidden/>
              </w:rPr>
            </w:r>
            <w:r>
              <w:rPr>
                <w:noProof/>
                <w:webHidden/>
              </w:rPr>
              <w:fldChar w:fldCharType="separate"/>
            </w:r>
            <w:r>
              <w:rPr>
                <w:noProof/>
                <w:webHidden/>
              </w:rPr>
              <w:t>28</w:t>
            </w:r>
            <w:r>
              <w:rPr>
                <w:noProof/>
                <w:webHidden/>
              </w:rPr>
              <w:fldChar w:fldCharType="end"/>
            </w:r>
          </w:hyperlink>
        </w:p>
        <w:p w14:paraId="56689D42" w14:textId="304B3A26" w:rsidR="00083FE3" w:rsidRDefault="00083FE3">
          <w:pPr>
            <w:pStyle w:val="TOC1"/>
            <w:tabs>
              <w:tab w:val="right" w:leader="dot" w:pos="9910"/>
            </w:tabs>
            <w:rPr>
              <w:rFonts w:asciiTheme="minorHAnsi" w:eastAsiaTheme="minorEastAsia" w:hAnsiTheme="minorHAnsi" w:cstheme="minorBidi"/>
              <w:noProof/>
              <w:kern w:val="2"/>
              <w:sz w:val="24"/>
              <w:lang w:bidi="ar-SA"/>
              <w14:ligatures w14:val="standardContextual"/>
            </w:rPr>
          </w:pPr>
          <w:hyperlink w:anchor="_Toc224716373" w:history="1">
            <w:r w:rsidRPr="007800D6">
              <w:rPr>
                <w:rStyle w:val="Hyperlink"/>
                <w:noProof/>
              </w:rPr>
              <w:t>7.</w:t>
            </w:r>
            <w:r>
              <w:rPr>
                <w:rFonts w:asciiTheme="minorHAnsi" w:eastAsiaTheme="minorEastAsia" w:hAnsiTheme="minorHAnsi" w:cstheme="minorBidi"/>
                <w:noProof/>
                <w:kern w:val="2"/>
                <w:sz w:val="24"/>
                <w:lang w:bidi="ar-SA"/>
                <w14:ligatures w14:val="standardContextual"/>
              </w:rPr>
              <w:tab/>
            </w:r>
            <w:r w:rsidRPr="007800D6">
              <w:rPr>
                <w:rStyle w:val="Hyperlink"/>
                <w:noProof/>
              </w:rPr>
              <w:t>Maintenance of Study Blind</w:t>
            </w:r>
            <w:r>
              <w:rPr>
                <w:noProof/>
                <w:webHidden/>
              </w:rPr>
              <w:tab/>
            </w:r>
            <w:r>
              <w:rPr>
                <w:noProof/>
                <w:webHidden/>
              </w:rPr>
              <w:fldChar w:fldCharType="begin"/>
            </w:r>
            <w:r>
              <w:rPr>
                <w:noProof/>
                <w:webHidden/>
              </w:rPr>
              <w:instrText xml:space="preserve"> PAGEREF _Toc224716373 \h </w:instrText>
            </w:r>
            <w:r>
              <w:rPr>
                <w:noProof/>
                <w:webHidden/>
              </w:rPr>
            </w:r>
            <w:r>
              <w:rPr>
                <w:noProof/>
                <w:webHidden/>
              </w:rPr>
              <w:fldChar w:fldCharType="separate"/>
            </w:r>
            <w:r>
              <w:rPr>
                <w:noProof/>
                <w:webHidden/>
              </w:rPr>
              <w:t>33</w:t>
            </w:r>
            <w:r>
              <w:rPr>
                <w:noProof/>
                <w:webHidden/>
              </w:rPr>
              <w:fldChar w:fldCharType="end"/>
            </w:r>
          </w:hyperlink>
        </w:p>
        <w:p w14:paraId="0665D91A" w14:textId="6B5B40A3" w:rsidR="00083FE3" w:rsidRDefault="00083FE3">
          <w:pPr>
            <w:pStyle w:val="TOC1"/>
            <w:tabs>
              <w:tab w:val="right" w:leader="dot" w:pos="9910"/>
            </w:tabs>
            <w:rPr>
              <w:rFonts w:asciiTheme="minorHAnsi" w:eastAsiaTheme="minorEastAsia" w:hAnsiTheme="minorHAnsi" w:cstheme="minorBidi"/>
              <w:noProof/>
              <w:kern w:val="2"/>
              <w:sz w:val="24"/>
              <w:lang w:bidi="ar-SA"/>
              <w14:ligatures w14:val="standardContextual"/>
            </w:rPr>
          </w:pPr>
          <w:hyperlink w:anchor="_Toc224716374" w:history="1">
            <w:r w:rsidRPr="007800D6">
              <w:rPr>
                <w:rStyle w:val="Hyperlink"/>
                <w:noProof/>
              </w:rPr>
              <w:t>8.</w:t>
            </w:r>
            <w:r>
              <w:rPr>
                <w:rFonts w:asciiTheme="minorHAnsi" w:eastAsiaTheme="minorEastAsia" w:hAnsiTheme="minorHAnsi" w:cstheme="minorBidi"/>
                <w:noProof/>
                <w:kern w:val="2"/>
                <w:sz w:val="24"/>
                <w:lang w:bidi="ar-SA"/>
                <w14:ligatures w14:val="standardContextual"/>
              </w:rPr>
              <w:tab/>
            </w:r>
            <w:r w:rsidRPr="007800D6">
              <w:rPr>
                <w:rStyle w:val="Hyperlink"/>
                <w:noProof/>
              </w:rPr>
              <w:t>Record Keeping Responsibilities</w:t>
            </w:r>
            <w:r>
              <w:rPr>
                <w:noProof/>
                <w:webHidden/>
              </w:rPr>
              <w:tab/>
            </w:r>
            <w:r>
              <w:rPr>
                <w:noProof/>
                <w:webHidden/>
              </w:rPr>
              <w:fldChar w:fldCharType="begin"/>
            </w:r>
            <w:r>
              <w:rPr>
                <w:noProof/>
                <w:webHidden/>
              </w:rPr>
              <w:instrText xml:space="preserve"> PAGEREF _Toc224716374 \h </w:instrText>
            </w:r>
            <w:r>
              <w:rPr>
                <w:noProof/>
                <w:webHidden/>
              </w:rPr>
            </w:r>
            <w:r>
              <w:rPr>
                <w:noProof/>
                <w:webHidden/>
              </w:rPr>
              <w:fldChar w:fldCharType="separate"/>
            </w:r>
            <w:r>
              <w:rPr>
                <w:noProof/>
                <w:webHidden/>
              </w:rPr>
              <w:t>34</w:t>
            </w:r>
            <w:r>
              <w:rPr>
                <w:noProof/>
                <w:webHidden/>
              </w:rPr>
              <w:fldChar w:fldCharType="end"/>
            </w:r>
          </w:hyperlink>
        </w:p>
        <w:p w14:paraId="0C46720C" w14:textId="6EA914F7" w:rsidR="00083FE3" w:rsidRDefault="00083FE3">
          <w:pPr>
            <w:pStyle w:val="TOC1"/>
            <w:tabs>
              <w:tab w:val="right" w:leader="dot" w:pos="9910"/>
            </w:tabs>
            <w:rPr>
              <w:rFonts w:asciiTheme="minorHAnsi" w:eastAsiaTheme="minorEastAsia" w:hAnsiTheme="minorHAnsi" w:cstheme="minorBidi"/>
              <w:noProof/>
              <w:kern w:val="2"/>
              <w:sz w:val="24"/>
              <w:lang w:bidi="ar-SA"/>
              <w14:ligatures w14:val="standardContextual"/>
            </w:rPr>
          </w:pPr>
          <w:hyperlink w:anchor="_Toc224716375" w:history="1">
            <w:r w:rsidRPr="007800D6">
              <w:rPr>
                <w:rStyle w:val="Hyperlink"/>
                <w:rFonts w:eastAsiaTheme="minorHAnsi"/>
                <w:noProof/>
              </w:rPr>
              <w:t>9.</w:t>
            </w:r>
            <w:r>
              <w:rPr>
                <w:rFonts w:asciiTheme="minorHAnsi" w:eastAsiaTheme="minorEastAsia" w:hAnsiTheme="minorHAnsi" w:cstheme="minorBidi"/>
                <w:noProof/>
                <w:kern w:val="2"/>
                <w:sz w:val="24"/>
                <w:lang w:bidi="ar-SA"/>
                <w14:ligatures w14:val="standardContextual"/>
              </w:rPr>
              <w:tab/>
            </w:r>
            <w:r w:rsidRPr="007800D6">
              <w:rPr>
                <w:rStyle w:val="Hyperlink"/>
                <w:rFonts w:eastAsiaTheme="minorHAnsi"/>
                <w:noProof/>
              </w:rPr>
              <w:t>Additional Considerations/Responsibilities</w:t>
            </w:r>
            <w:r>
              <w:rPr>
                <w:noProof/>
                <w:webHidden/>
              </w:rPr>
              <w:tab/>
            </w:r>
            <w:r>
              <w:rPr>
                <w:noProof/>
                <w:webHidden/>
              </w:rPr>
              <w:fldChar w:fldCharType="begin"/>
            </w:r>
            <w:r>
              <w:rPr>
                <w:noProof/>
                <w:webHidden/>
              </w:rPr>
              <w:instrText xml:space="preserve"> PAGEREF _Toc224716375 \h </w:instrText>
            </w:r>
            <w:r>
              <w:rPr>
                <w:noProof/>
                <w:webHidden/>
              </w:rPr>
            </w:r>
            <w:r>
              <w:rPr>
                <w:noProof/>
                <w:webHidden/>
              </w:rPr>
              <w:fldChar w:fldCharType="separate"/>
            </w:r>
            <w:r>
              <w:rPr>
                <w:noProof/>
                <w:webHidden/>
              </w:rPr>
              <w:t>36</w:t>
            </w:r>
            <w:r>
              <w:rPr>
                <w:noProof/>
                <w:webHidden/>
              </w:rPr>
              <w:fldChar w:fldCharType="end"/>
            </w:r>
          </w:hyperlink>
        </w:p>
        <w:p w14:paraId="0591E14C" w14:textId="068CC49D" w:rsidR="00083FE3" w:rsidRDefault="00083FE3">
          <w:pPr>
            <w:pStyle w:val="TOC1"/>
            <w:tabs>
              <w:tab w:val="left" w:pos="1036"/>
              <w:tab w:val="right" w:leader="dot" w:pos="9910"/>
            </w:tabs>
            <w:rPr>
              <w:rFonts w:asciiTheme="minorHAnsi" w:eastAsiaTheme="minorEastAsia" w:hAnsiTheme="minorHAnsi" w:cstheme="minorBidi"/>
              <w:noProof/>
              <w:kern w:val="2"/>
              <w:sz w:val="24"/>
              <w:lang w:bidi="ar-SA"/>
              <w14:ligatures w14:val="standardContextual"/>
            </w:rPr>
          </w:pPr>
          <w:hyperlink w:anchor="_Toc224716376" w:history="1">
            <w:r w:rsidRPr="007800D6">
              <w:rPr>
                <w:rStyle w:val="Hyperlink"/>
                <w:noProof/>
              </w:rPr>
              <w:t>10.</w:t>
            </w:r>
            <w:r>
              <w:rPr>
                <w:rFonts w:asciiTheme="minorHAnsi" w:eastAsiaTheme="minorEastAsia" w:hAnsiTheme="minorHAnsi" w:cstheme="minorBidi"/>
                <w:noProof/>
                <w:kern w:val="2"/>
                <w:sz w:val="24"/>
                <w:lang w:bidi="ar-SA"/>
                <w14:ligatures w14:val="standardContextual"/>
              </w:rPr>
              <w:tab/>
            </w:r>
            <w:r w:rsidRPr="007800D6">
              <w:rPr>
                <w:rStyle w:val="Hyperlink"/>
                <w:noProof/>
              </w:rPr>
              <w:t>References</w:t>
            </w:r>
            <w:r>
              <w:rPr>
                <w:noProof/>
                <w:webHidden/>
              </w:rPr>
              <w:tab/>
            </w:r>
            <w:r>
              <w:rPr>
                <w:noProof/>
                <w:webHidden/>
              </w:rPr>
              <w:fldChar w:fldCharType="begin"/>
            </w:r>
            <w:r>
              <w:rPr>
                <w:noProof/>
                <w:webHidden/>
              </w:rPr>
              <w:instrText xml:space="preserve"> PAGEREF _Toc224716376 \h </w:instrText>
            </w:r>
            <w:r>
              <w:rPr>
                <w:noProof/>
                <w:webHidden/>
              </w:rPr>
            </w:r>
            <w:r>
              <w:rPr>
                <w:noProof/>
                <w:webHidden/>
              </w:rPr>
              <w:fldChar w:fldCharType="separate"/>
            </w:r>
            <w:r>
              <w:rPr>
                <w:noProof/>
                <w:webHidden/>
              </w:rPr>
              <w:t>37</w:t>
            </w:r>
            <w:r>
              <w:rPr>
                <w:noProof/>
                <w:webHidden/>
              </w:rPr>
              <w:fldChar w:fldCharType="end"/>
            </w:r>
          </w:hyperlink>
        </w:p>
        <w:p w14:paraId="487CD728" w14:textId="252808E0" w:rsidR="00083FE3" w:rsidRDefault="00083FE3">
          <w:pPr>
            <w:pStyle w:val="TOC1"/>
            <w:tabs>
              <w:tab w:val="left" w:pos="1036"/>
              <w:tab w:val="right" w:leader="dot" w:pos="9910"/>
            </w:tabs>
            <w:rPr>
              <w:rFonts w:asciiTheme="minorHAnsi" w:eastAsiaTheme="minorEastAsia" w:hAnsiTheme="minorHAnsi" w:cstheme="minorBidi"/>
              <w:noProof/>
              <w:kern w:val="2"/>
              <w:sz w:val="24"/>
              <w:lang w:bidi="ar-SA"/>
              <w14:ligatures w14:val="standardContextual"/>
            </w:rPr>
          </w:pPr>
          <w:hyperlink w:anchor="_Toc224716377" w:history="1">
            <w:r w:rsidRPr="007800D6">
              <w:rPr>
                <w:rStyle w:val="Hyperlink"/>
                <w:noProof/>
              </w:rPr>
              <w:t>11.</w:t>
            </w:r>
            <w:r>
              <w:rPr>
                <w:rFonts w:asciiTheme="minorHAnsi" w:eastAsiaTheme="minorEastAsia" w:hAnsiTheme="minorHAnsi" w:cstheme="minorBidi"/>
                <w:noProof/>
                <w:kern w:val="2"/>
                <w:sz w:val="24"/>
                <w:lang w:bidi="ar-SA"/>
                <w14:ligatures w14:val="standardContextual"/>
              </w:rPr>
              <w:tab/>
            </w:r>
            <w:r w:rsidRPr="007800D6">
              <w:rPr>
                <w:rStyle w:val="Hyperlink"/>
                <w:noProof/>
              </w:rPr>
              <w:t>Availability</w:t>
            </w:r>
            <w:r>
              <w:rPr>
                <w:noProof/>
                <w:webHidden/>
              </w:rPr>
              <w:tab/>
            </w:r>
            <w:r>
              <w:rPr>
                <w:noProof/>
                <w:webHidden/>
              </w:rPr>
              <w:fldChar w:fldCharType="begin"/>
            </w:r>
            <w:r>
              <w:rPr>
                <w:noProof/>
                <w:webHidden/>
              </w:rPr>
              <w:instrText xml:space="preserve"> PAGEREF _Toc224716377 \h </w:instrText>
            </w:r>
            <w:r>
              <w:rPr>
                <w:noProof/>
                <w:webHidden/>
              </w:rPr>
            </w:r>
            <w:r>
              <w:rPr>
                <w:noProof/>
                <w:webHidden/>
              </w:rPr>
              <w:fldChar w:fldCharType="separate"/>
            </w:r>
            <w:r>
              <w:rPr>
                <w:noProof/>
                <w:webHidden/>
              </w:rPr>
              <w:t>38</w:t>
            </w:r>
            <w:r>
              <w:rPr>
                <w:noProof/>
                <w:webHidden/>
              </w:rPr>
              <w:fldChar w:fldCharType="end"/>
            </w:r>
          </w:hyperlink>
        </w:p>
        <w:p w14:paraId="2DA0DFF6" w14:textId="7457E7EC" w:rsidR="005C0ED2" w:rsidRDefault="005C0ED2">
          <w:r>
            <w:rPr>
              <w:b/>
              <w:bCs/>
              <w:noProof/>
            </w:rPr>
            <w:fldChar w:fldCharType="end"/>
          </w:r>
        </w:p>
      </w:sdtContent>
    </w:sdt>
    <w:p w14:paraId="57F4729F" w14:textId="3599D933" w:rsidR="005C0ED2" w:rsidRPr="00871E3F" w:rsidRDefault="00871E3F" w:rsidP="007528C7">
      <w:pPr>
        <w:pStyle w:val="TOCHeading"/>
        <w:jc w:val="center"/>
      </w:pPr>
      <w:r w:rsidRPr="00871E3F">
        <w:t>List of Tables</w:t>
      </w:r>
    </w:p>
    <w:p w14:paraId="50146047" w14:textId="5E010D51" w:rsidR="00F80AE2" w:rsidRDefault="000B0534">
      <w:pPr>
        <w:pStyle w:val="TableofFigures"/>
        <w:tabs>
          <w:tab w:val="right" w:leader="dot" w:pos="9910"/>
        </w:tabs>
        <w:rPr>
          <w:rFonts w:asciiTheme="minorHAnsi" w:eastAsiaTheme="minorEastAsia" w:hAnsiTheme="minorHAnsi" w:cstheme="minorBidi"/>
          <w:noProof/>
          <w:kern w:val="2"/>
          <w:sz w:val="24"/>
          <w:szCs w:val="24"/>
          <w:lang w:bidi="ar-SA"/>
          <w14:ligatures w14:val="standardContextual"/>
        </w:rPr>
      </w:pPr>
      <w:r>
        <w:fldChar w:fldCharType="begin"/>
      </w:r>
      <w:r>
        <w:instrText xml:space="preserve"> TOC \h \z \c "Table" </w:instrText>
      </w:r>
      <w:r>
        <w:fldChar w:fldCharType="separate"/>
      </w:r>
      <w:hyperlink w:anchor="_Toc224716405" w:history="1">
        <w:r w:rsidR="00F80AE2" w:rsidRPr="003D26FB">
          <w:rPr>
            <w:rStyle w:val="Hyperlink"/>
            <w:noProof/>
          </w:rPr>
          <w:t>Table 1 Change Summary</w:t>
        </w:r>
        <w:r w:rsidR="00F80AE2">
          <w:rPr>
            <w:noProof/>
            <w:webHidden/>
          </w:rPr>
          <w:tab/>
        </w:r>
        <w:r w:rsidR="00F80AE2">
          <w:rPr>
            <w:noProof/>
            <w:webHidden/>
          </w:rPr>
          <w:fldChar w:fldCharType="begin"/>
        </w:r>
        <w:r w:rsidR="00F80AE2">
          <w:rPr>
            <w:noProof/>
            <w:webHidden/>
          </w:rPr>
          <w:instrText xml:space="preserve"> PAGEREF _Toc224716405 \h </w:instrText>
        </w:r>
        <w:r w:rsidR="00F80AE2">
          <w:rPr>
            <w:noProof/>
            <w:webHidden/>
          </w:rPr>
        </w:r>
        <w:r w:rsidR="00F80AE2">
          <w:rPr>
            <w:noProof/>
            <w:webHidden/>
          </w:rPr>
          <w:fldChar w:fldCharType="separate"/>
        </w:r>
        <w:r w:rsidR="00F80AE2">
          <w:rPr>
            <w:noProof/>
            <w:webHidden/>
          </w:rPr>
          <w:t>2</w:t>
        </w:r>
        <w:r w:rsidR="00F80AE2">
          <w:rPr>
            <w:noProof/>
            <w:webHidden/>
          </w:rPr>
          <w:fldChar w:fldCharType="end"/>
        </w:r>
      </w:hyperlink>
    </w:p>
    <w:p w14:paraId="38BE5BFC" w14:textId="716A1D45" w:rsidR="00F80AE2" w:rsidRDefault="00F80AE2">
      <w:pPr>
        <w:pStyle w:val="TableofFigures"/>
        <w:tabs>
          <w:tab w:val="right" w:leader="dot" w:pos="9910"/>
        </w:tabs>
        <w:rPr>
          <w:rFonts w:asciiTheme="minorHAnsi" w:eastAsiaTheme="minorEastAsia" w:hAnsiTheme="minorHAnsi" w:cstheme="minorBidi"/>
          <w:noProof/>
          <w:kern w:val="2"/>
          <w:sz w:val="24"/>
          <w:szCs w:val="24"/>
          <w:lang w:bidi="ar-SA"/>
          <w14:ligatures w14:val="standardContextual"/>
        </w:rPr>
      </w:pPr>
      <w:hyperlink w:anchor="_Toc224716406" w:history="1">
        <w:r w:rsidRPr="003D26FB">
          <w:rPr>
            <w:rStyle w:val="Hyperlink"/>
            <w:noProof/>
          </w:rPr>
          <w:t>Table 2 List of Abbreviations</w:t>
        </w:r>
        <w:r>
          <w:rPr>
            <w:noProof/>
            <w:webHidden/>
          </w:rPr>
          <w:tab/>
        </w:r>
        <w:r>
          <w:rPr>
            <w:noProof/>
            <w:webHidden/>
          </w:rPr>
          <w:fldChar w:fldCharType="begin"/>
        </w:r>
        <w:r>
          <w:rPr>
            <w:noProof/>
            <w:webHidden/>
          </w:rPr>
          <w:instrText xml:space="preserve"> PAGEREF _Toc224716406 \h </w:instrText>
        </w:r>
        <w:r>
          <w:rPr>
            <w:noProof/>
            <w:webHidden/>
          </w:rPr>
        </w:r>
        <w:r>
          <w:rPr>
            <w:noProof/>
            <w:webHidden/>
          </w:rPr>
          <w:fldChar w:fldCharType="separate"/>
        </w:r>
        <w:r>
          <w:rPr>
            <w:noProof/>
            <w:webHidden/>
          </w:rPr>
          <w:t>5</w:t>
        </w:r>
        <w:r>
          <w:rPr>
            <w:noProof/>
            <w:webHidden/>
          </w:rPr>
          <w:fldChar w:fldCharType="end"/>
        </w:r>
      </w:hyperlink>
    </w:p>
    <w:p w14:paraId="79DBA45E" w14:textId="6CD16FDE" w:rsidR="00F80AE2" w:rsidRDefault="00F80AE2">
      <w:pPr>
        <w:pStyle w:val="TableofFigures"/>
        <w:tabs>
          <w:tab w:val="right" w:leader="dot" w:pos="9910"/>
        </w:tabs>
        <w:rPr>
          <w:rFonts w:asciiTheme="minorHAnsi" w:eastAsiaTheme="minorEastAsia" w:hAnsiTheme="minorHAnsi" w:cstheme="minorBidi"/>
          <w:noProof/>
          <w:kern w:val="2"/>
          <w:sz w:val="24"/>
          <w:szCs w:val="24"/>
          <w:lang w:bidi="ar-SA"/>
          <w14:ligatures w14:val="standardContextual"/>
        </w:rPr>
      </w:pPr>
      <w:hyperlink w:anchor="_Toc224716407" w:history="1">
        <w:r w:rsidRPr="003D26FB">
          <w:rPr>
            <w:rStyle w:val="Hyperlink"/>
            <w:noProof/>
          </w:rPr>
          <w:t>Table 3 Glossary of Terms</w:t>
        </w:r>
        <w:r>
          <w:rPr>
            <w:noProof/>
            <w:webHidden/>
          </w:rPr>
          <w:tab/>
        </w:r>
        <w:r>
          <w:rPr>
            <w:noProof/>
            <w:webHidden/>
          </w:rPr>
          <w:fldChar w:fldCharType="begin"/>
        </w:r>
        <w:r>
          <w:rPr>
            <w:noProof/>
            <w:webHidden/>
          </w:rPr>
          <w:instrText xml:space="preserve"> PAGEREF _Toc224716407 \h </w:instrText>
        </w:r>
        <w:r>
          <w:rPr>
            <w:noProof/>
            <w:webHidden/>
          </w:rPr>
        </w:r>
        <w:r>
          <w:rPr>
            <w:noProof/>
            <w:webHidden/>
          </w:rPr>
          <w:fldChar w:fldCharType="separate"/>
        </w:r>
        <w:r>
          <w:rPr>
            <w:noProof/>
            <w:webHidden/>
          </w:rPr>
          <w:t>6</w:t>
        </w:r>
        <w:r>
          <w:rPr>
            <w:noProof/>
            <w:webHidden/>
          </w:rPr>
          <w:fldChar w:fldCharType="end"/>
        </w:r>
      </w:hyperlink>
    </w:p>
    <w:p w14:paraId="7A3D9179" w14:textId="373B519B" w:rsidR="00F80AE2" w:rsidRDefault="00F80AE2">
      <w:pPr>
        <w:pStyle w:val="TableofFigures"/>
        <w:tabs>
          <w:tab w:val="right" w:leader="dot" w:pos="9910"/>
        </w:tabs>
        <w:rPr>
          <w:rFonts w:asciiTheme="minorHAnsi" w:eastAsiaTheme="minorEastAsia" w:hAnsiTheme="minorHAnsi" w:cstheme="minorBidi"/>
          <w:noProof/>
          <w:kern w:val="2"/>
          <w:sz w:val="24"/>
          <w:szCs w:val="24"/>
          <w:lang w:bidi="ar-SA"/>
          <w14:ligatures w14:val="standardContextual"/>
        </w:rPr>
      </w:pPr>
      <w:hyperlink w:anchor="_Toc224716408" w:history="1">
        <w:r w:rsidRPr="003D26FB">
          <w:rPr>
            <w:rStyle w:val="Hyperlink"/>
            <w:noProof/>
          </w:rPr>
          <w:t>Table 4 Investigational Product Storage Conditions and Temperature Definitions*</w:t>
        </w:r>
        <w:r>
          <w:rPr>
            <w:noProof/>
            <w:webHidden/>
          </w:rPr>
          <w:tab/>
        </w:r>
        <w:r>
          <w:rPr>
            <w:noProof/>
            <w:webHidden/>
          </w:rPr>
          <w:fldChar w:fldCharType="begin"/>
        </w:r>
        <w:r>
          <w:rPr>
            <w:noProof/>
            <w:webHidden/>
          </w:rPr>
          <w:instrText xml:space="preserve"> PAGEREF _Toc224716408 \h </w:instrText>
        </w:r>
        <w:r>
          <w:rPr>
            <w:noProof/>
            <w:webHidden/>
          </w:rPr>
        </w:r>
        <w:r>
          <w:rPr>
            <w:noProof/>
            <w:webHidden/>
          </w:rPr>
          <w:fldChar w:fldCharType="separate"/>
        </w:r>
        <w:r>
          <w:rPr>
            <w:noProof/>
            <w:webHidden/>
          </w:rPr>
          <w:t>9</w:t>
        </w:r>
        <w:r>
          <w:rPr>
            <w:noProof/>
            <w:webHidden/>
          </w:rPr>
          <w:fldChar w:fldCharType="end"/>
        </w:r>
      </w:hyperlink>
    </w:p>
    <w:p w14:paraId="3ECB2AE6" w14:textId="3D9F486B" w:rsidR="005C0ED2" w:rsidRDefault="000B0534" w:rsidP="00E87067">
      <w:r>
        <w:fldChar w:fldCharType="end"/>
      </w:r>
    </w:p>
    <w:p w14:paraId="0041A958" w14:textId="77777777" w:rsidR="005C0ED2" w:rsidRDefault="005C0ED2" w:rsidP="00E87067"/>
    <w:p w14:paraId="0845FA26" w14:textId="57DE2516" w:rsidR="005C0ED2" w:rsidRPr="00E87067" w:rsidRDefault="005C0ED2" w:rsidP="00E87067">
      <w:pPr>
        <w:sectPr w:rsidR="005C0ED2" w:rsidRPr="00E87067" w:rsidSect="00B64A62">
          <w:pgSz w:w="12240" w:h="15840" w:code="1"/>
          <w:pgMar w:top="1080" w:right="1180" w:bottom="1120" w:left="1140" w:header="144" w:footer="432" w:gutter="0"/>
          <w:cols w:space="720"/>
          <w:docGrid w:linePitch="299"/>
        </w:sectPr>
      </w:pPr>
    </w:p>
    <w:p w14:paraId="2BD2884A" w14:textId="6991BB28" w:rsidR="007B2662" w:rsidRDefault="007B2662" w:rsidP="007528C7">
      <w:pPr>
        <w:pStyle w:val="Heading2"/>
        <w:ind w:left="720"/>
      </w:pPr>
      <w:bookmarkStart w:id="3" w:name="_Toc224716364"/>
      <w:bookmarkStart w:id="4" w:name="_Toc224716406"/>
      <w:r>
        <w:lastRenderedPageBreak/>
        <w:t xml:space="preserve">Table </w:t>
      </w:r>
      <w:r>
        <w:fldChar w:fldCharType="begin"/>
      </w:r>
      <w:r>
        <w:instrText>SEQ Table \* ARABIC</w:instrText>
      </w:r>
      <w:r>
        <w:fldChar w:fldCharType="separate"/>
      </w:r>
      <w:r w:rsidR="00843F45">
        <w:rPr>
          <w:noProof/>
        </w:rPr>
        <w:t>2</w:t>
      </w:r>
      <w:r>
        <w:fldChar w:fldCharType="end"/>
      </w:r>
      <w:r>
        <w:t xml:space="preserve"> List of Abbreviations</w:t>
      </w:r>
      <w:bookmarkEnd w:id="3"/>
      <w:bookmarkEnd w:id="4"/>
    </w:p>
    <w:tbl>
      <w:tblPr>
        <w:tblStyle w:val="DMIDTableLeftColumnShaded"/>
        <w:tblW w:w="0" w:type="auto"/>
        <w:tblLook w:val="04A0" w:firstRow="1" w:lastRow="0" w:firstColumn="1" w:lastColumn="0" w:noHBand="0" w:noVBand="1"/>
      </w:tblPr>
      <w:tblGrid>
        <w:gridCol w:w="985"/>
        <w:gridCol w:w="6644"/>
      </w:tblGrid>
      <w:tr w:rsidR="00FF3B71" w:rsidRPr="00E87067" w14:paraId="191BCFA0" w14:textId="77777777" w:rsidTr="007528C7">
        <w:trPr>
          <w:trHeight w:hRule="exact" w:val="360"/>
        </w:trPr>
        <w:tc>
          <w:tcPr>
            <w:cnfStyle w:val="001000000000" w:firstRow="0" w:lastRow="0" w:firstColumn="1" w:lastColumn="0" w:oddVBand="0" w:evenVBand="0" w:oddHBand="0" w:evenHBand="0" w:firstRowFirstColumn="0" w:firstRowLastColumn="0" w:lastRowFirstColumn="0" w:lastRowLastColumn="0"/>
            <w:tcW w:w="985" w:type="dxa"/>
            <w:tcMar>
              <w:top w:w="72" w:type="dxa"/>
              <w:left w:w="115" w:type="dxa"/>
              <w:bottom w:w="72" w:type="dxa"/>
              <w:right w:w="115" w:type="dxa"/>
            </w:tcMar>
            <w:vAlign w:val="center"/>
          </w:tcPr>
          <w:p w14:paraId="10D465F0" w14:textId="77777777" w:rsidR="00FF3B71" w:rsidRPr="007528C7" w:rsidRDefault="00FF3B71" w:rsidP="007528C7">
            <w:pPr>
              <w:spacing w:before="0"/>
            </w:pPr>
            <w:r w:rsidRPr="007528C7">
              <w:t>CDC</w:t>
            </w:r>
          </w:p>
        </w:tc>
        <w:tc>
          <w:tcPr>
            <w:tcW w:w="6644" w:type="dxa"/>
            <w:tcMar>
              <w:top w:w="72" w:type="dxa"/>
              <w:left w:w="115" w:type="dxa"/>
              <w:bottom w:w="72" w:type="dxa"/>
              <w:right w:w="115" w:type="dxa"/>
            </w:tcMar>
            <w:vAlign w:val="center"/>
          </w:tcPr>
          <w:p w14:paraId="3F577477" w14:textId="77777777"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pPr>
            <w:r w:rsidRPr="007528C7">
              <w:t>Centers for Disease Control and Prevention</w:t>
            </w:r>
          </w:p>
        </w:tc>
      </w:tr>
      <w:tr w:rsidR="00FF3B71" w:rsidRPr="00E87067" w14:paraId="48BE01A0" w14:textId="77777777" w:rsidTr="007528C7">
        <w:trPr>
          <w:trHeight w:hRule="exact" w:val="360"/>
        </w:trPr>
        <w:tc>
          <w:tcPr>
            <w:cnfStyle w:val="001000000000" w:firstRow="0" w:lastRow="0" w:firstColumn="1" w:lastColumn="0" w:oddVBand="0" w:evenVBand="0" w:oddHBand="0" w:evenHBand="0" w:firstRowFirstColumn="0" w:firstRowLastColumn="0" w:lastRowFirstColumn="0" w:lastRowLastColumn="0"/>
            <w:tcW w:w="985" w:type="dxa"/>
            <w:tcMar>
              <w:top w:w="72" w:type="dxa"/>
              <w:left w:w="115" w:type="dxa"/>
              <w:bottom w:w="72" w:type="dxa"/>
              <w:right w:w="115" w:type="dxa"/>
            </w:tcMar>
            <w:vAlign w:val="center"/>
          </w:tcPr>
          <w:p w14:paraId="5AF8F129" w14:textId="77777777" w:rsidR="00FF3B71" w:rsidRPr="007528C7" w:rsidRDefault="00FF3B71" w:rsidP="007528C7">
            <w:pPr>
              <w:spacing w:before="0"/>
            </w:pPr>
            <w:r w:rsidRPr="007528C7">
              <w:t>CFR</w:t>
            </w:r>
          </w:p>
        </w:tc>
        <w:tc>
          <w:tcPr>
            <w:tcW w:w="6644" w:type="dxa"/>
            <w:tcMar>
              <w:top w:w="72" w:type="dxa"/>
              <w:left w:w="115" w:type="dxa"/>
              <w:bottom w:w="72" w:type="dxa"/>
              <w:right w:w="115" w:type="dxa"/>
            </w:tcMar>
            <w:vAlign w:val="center"/>
          </w:tcPr>
          <w:p w14:paraId="1B48890A" w14:textId="77777777"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pPr>
            <w:r w:rsidRPr="007528C7">
              <w:t>Code of Federal Regulations</w:t>
            </w:r>
          </w:p>
        </w:tc>
      </w:tr>
      <w:tr w:rsidR="00FF3B71" w:rsidRPr="00E87067" w14:paraId="1DA8BDE7" w14:textId="77777777" w:rsidTr="007528C7">
        <w:trPr>
          <w:trHeight w:hRule="exact" w:val="360"/>
        </w:trPr>
        <w:tc>
          <w:tcPr>
            <w:cnfStyle w:val="001000000000" w:firstRow="0" w:lastRow="0" w:firstColumn="1" w:lastColumn="0" w:oddVBand="0" w:evenVBand="0" w:oddHBand="0" w:evenHBand="0" w:firstRowFirstColumn="0" w:firstRowLastColumn="0" w:lastRowFirstColumn="0" w:lastRowLastColumn="0"/>
            <w:tcW w:w="985" w:type="dxa"/>
            <w:tcMar>
              <w:top w:w="72" w:type="dxa"/>
              <w:left w:w="115" w:type="dxa"/>
              <w:bottom w:w="72" w:type="dxa"/>
              <w:right w:w="115" w:type="dxa"/>
            </w:tcMar>
            <w:vAlign w:val="center"/>
          </w:tcPr>
          <w:p w14:paraId="3C512B6B" w14:textId="77777777" w:rsidR="00FF3B71" w:rsidRPr="007528C7" w:rsidRDefault="00FF3B71" w:rsidP="007528C7">
            <w:pPr>
              <w:spacing w:before="0"/>
            </w:pPr>
            <w:r w:rsidRPr="007528C7">
              <w:t>CMS</w:t>
            </w:r>
          </w:p>
        </w:tc>
        <w:tc>
          <w:tcPr>
            <w:tcW w:w="6644" w:type="dxa"/>
            <w:tcMar>
              <w:top w:w="72" w:type="dxa"/>
              <w:left w:w="115" w:type="dxa"/>
              <w:bottom w:w="72" w:type="dxa"/>
              <w:right w:w="115" w:type="dxa"/>
            </w:tcMar>
            <w:vAlign w:val="center"/>
          </w:tcPr>
          <w:p w14:paraId="10FB8EFA" w14:textId="77777777"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pPr>
            <w:r w:rsidRPr="007528C7">
              <w:t>Clinical Materials Services</w:t>
            </w:r>
          </w:p>
        </w:tc>
      </w:tr>
      <w:tr w:rsidR="00FF3B71" w:rsidRPr="00E87067" w14:paraId="65CE56AB" w14:textId="77777777" w:rsidTr="007528C7">
        <w:trPr>
          <w:trHeight w:hRule="exact" w:val="360"/>
        </w:trPr>
        <w:tc>
          <w:tcPr>
            <w:cnfStyle w:val="001000000000" w:firstRow="0" w:lastRow="0" w:firstColumn="1" w:lastColumn="0" w:oddVBand="0" w:evenVBand="0" w:oddHBand="0" w:evenHBand="0" w:firstRowFirstColumn="0" w:firstRowLastColumn="0" w:lastRowFirstColumn="0" w:lastRowLastColumn="0"/>
            <w:tcW w:w="985" w:type="dxa"/>
            <w:tcMar>
              <w:top w:w="72" w:type="dxa"/>
              <w:left w:w="115" w:type="dxa"/>
              <w:bottom w:w="72" w:type="dxa"/>
              <w:right w:w="115" w:type="dxa"/>
            </w:tcMar>
            <w:vAlign w:val="center"/>
          </w:tcPr>
          <w:p w14:paraId="6D89F96B" w14:textId="77777777" w:rsidR="00FF3B71" w:rsidRPr="007528C7" w:rsidRDefault="00FF3B71" w:rsidP="007528C7">
            <w:pPr>
              <w:spacing w:before="0"/>
            </w:pPr>
            <w:r w:rsidRPr="007528C7">
              <w:t>CPM</w:t>
            </w:r>
          </w:p>
        </w:tc>
        <w:tc>
          <w:tcPr>
            <w:tcW w:w="6644" w:type="dxa"/>
            <w:tcMar>
              <w:top w:w="72" w:type="dxa"/>
              <w:left w:w="115" w:type="dxa"/>
              <w:bottom w:w="72" w:type="dxa"/>
              <w:right w:w="115" w:type="dxa"/>
            </w:tcMar>
            <w:vAlign w:val="center"/>
          </w:tcPr>
          <w:p w14:paraId="6132680B" w14:textId="77777777"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pPr>
            <w:r w:rsidRPr="007528C7">
              <w:t>Clinical Project Manager</w:t>
            </w:r>
          </w:p>
        </w:tc>
      </w:tr>
      <w:tr w:rsidR="00FF3B71" w:rsidRPr="00E87067" w14:paraId="45BBDAED" w14:textId="77777777" w:rsidTr="007528C7">
        <w:trPr>
          <w:trHeight w:hRule="exact" w:val="360"/>
        </w:trPr>
        <w:tc>
          <w:tcPr>
            <w:cnfStyle w:val="001000000000" w:firstRow="0" w:lastRow="0" w:firstColumn="1" w:lastColumn="0" w:oddVBand="0" w:evenVBand="0" w:oddHBand="0" w:evenHBand="0" w:firstRowFirstColumn="0" w:firstRowLastColumn="0" w:lastRowFirstColumn="0" w:lastRowLastColumn="0"/>
            <w:tcW w:w="985" w:type="dxa"/>
            <w:tcMar>
              <w:top w:w="72" w:type="dxa"/>
              <w:left w:w="115" w:type="dxa"/>
              <w:bottom w:w="72" w:type="dxa"/>
              <w:right w:w="115" w:type="dxa"/>
            </w:tcMar>
            <w:vAlign w:val="center"/>
          </w:tcPr>
          <w:p w14:paraId="37DFD4CF" w14:textId="77777777" w:rsidR="00FF3B71" w:rsidRPr="007528C7" w:rsidRDefault="00FF3B71" w:rsidP="007528C7">
            <w:pPr>
              <w:spacing w:before="0"/>
            </w:pPr>
            <w:r w:rsidRPr="007528C7">
              <w:t>DHHS</w:t>
            </w:r>
          </w:p>
        </w:tc>
        <w:tc>
          <w:tcPr>
            <w:tcW w:w="6644" w:type="dxa"/>
            <w:tcMar>
              <w:top w:w="72" w:type="dxa"/>
              <w:left w:w="115" w:type="dxa"/>
              <w:bottom w:w="72" w:type="dxa"/>
              <w:right w:w="115" w:type="dxa"/>
            </w:tcMar>
            <w:vAlign w:val="center"/>
          </w:tcPr>
          <w:p w14:paraId="20F3D840" w14:textId="77777777"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pPr>
            <w:r w:rsidRPr="007528C7">
              <w:t>Department of Health and Human Services</w:t>
            </w:r>
          </w:p>
        </w:tc>
      </w:tr>
      <w:tr w:rsidR="00FF3B71" w:rsidRPr="00E87067" w14:paraId="43908ABA" w14:textId="77777777" w:rsidTr="007528C7">
        <w:trPr>
          <w:trHeight w:hRule="exact" w:val="360"/>
        </w:trPr>
        <w:tc>
          <w:tcPr>
            <w:cnfStyle w:val="001000000000" w:firstRow="0" w:lastRow="0" w:firstColumn="1" w:lastColumn="0" w:oddVBand="0" w:evenVBand="0" w:oddHBand="0" w:evenHBand="0" w:firstRowFirstColumn="0" w:firstRowLastColumn="0" w:lastRowFirstColumn="0" w:lastRowLastColumn="0"/>
            <w:tcW w:w="985" w:type="dxa"/>
            <w:tcMar>
              <w:top w:w="72" w:type="dxa"/>
              <w:left w:w="115" w:type="dxa"/>
              <w:bottom w:w="72" w:type="dxa"/>
              <w:right w:w="115" w:type="dxa"/>
            </w:tcMar>
            <w:vAlign w:val="center"/>
          </w:tcPr>
          <w:p w14:paraId="52CAA178" w14:textId="77777777" w:rsidR="00FF3B71" w:rsidRPr="007528C7" w:rsidRDefault="00FF3B71" w:rsidP="007528C7">
            <w:pPr>
              <w:spacing w:before="0"/>
            </w:pPr>
            <w:r w:rsidRPr="007528C7">
              <w:t>DMID</w:t>
            </w:r>
          </w:p>
        </w:tc>
        <w:tc>
          <w:tcPr>
            <w:tcW w:w="6644" w:type="dxa"/>
            <w:tcMar>
              <w:top w:w="72" w:type="dxa"/>
              <w:left w:w="115" w:type="dxa"/>
              <w:bottom w:w="72" w:type="dxa"/>
              <w:right w:w="115" w:type="dxa"/>
            </w:tcMar>
            <w:vAlign w:val="center"/>
          </w:tcPr>
          <w:p w14:paraId="42A15D99" w14:textId="77777777"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pPr>
            <w:r w:rsidRPr="007528C7">
              <w:t>Division of Microbiology of Infectious Diseases, NIAID, NIH, DHHS</w:t>
            </w:r>
          </w:p>
        </w:tc>
      </w:tr>
      <w:tr w:rsidR="00FF3B71" w:rsidRPr="00E87067" w14:paraId="37309E4D" w14:textId="77777777" w:rsidTr="007528C7">
        <w:trPr>
          <w:trHeight w:hRule="exact" w:val="360"/>
        </w:trPr>
        <w:tc>
          <w:tcPr>
            <w:cnfStyle w:val="001000000000" w:firstRow="0" w:lastRow="0" w:firstColumn="1" w:lastColumn="0" w:oddVBand="0" w:evenVBand="0" w:oddHBand="0" w:evenHBand="0" w:firstRowFirstColumn="0" w:firstRowLastColumn="0" w:lastRowFirstColumn="0" w:lastRowLastColumn="0"/>
            <w:tcW w:w="985" w:type="dxa"/>
            <w:tcMar>
              <w:top w:w="72" w:type="dxa"/>
              <w:left w:w="115" w:type="dxa"/>
              <w:bottom w:w="72" w:type="dxa"/>
              <w:right w:w="115" w:type="dxa"/>
            </w:tcMar>
            <w:vAlign w:val="center"/>
          </w:tcPr>
          <w:p w14:paraId="1B26DABD" w14:textId="77777777" w:rsidR="00FF3B71" w:rsidRPr="007528C7" w:rsidRDefault="00FF3B71" w:rsidP="007528C7">
            <w:pPr>
              <w:spacing w:before="0"/>
            </w:pPr>
            <w:r w:rsidRPr="007528C7">
              <w:t>FDA</w:t>
            </w:r>
          </w:p>
        </w:tc>
        <w:tc>
          <w:tcPr>
            <w:tcW w:w="6644" w:type="dxa"/>
            <w:tcMar>
              <w:top w:w="72" w:type="dxa"/>
              <w:left w:w="115" w:type="dxa"/>
              <w:bottom w:w="72" w:type="dxa"/>
              <w:right w:w="115" w:type="dxa"/>
            </w:tcMar>
            <w:vAlign w:val="center"/>
          </w:tcPr>
          <w:p w14:paraId="3CA23DFB" w14:textId="77777777"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pPr>
            <w:r w:rsidRPr="007528C7">
              <w:t>Food and Drug Administration</w:t>
            </w:r>
          </w:p>
        </w:tc>
      </w:tr>
      <w:tr w:rsidR="00FF3B71" w:rsidRPr="00E87067" w14:paraId="483BD70E" w14:textId="77777777" w:rsidTr="007528C7">
        <w:trPr>
          <w:trHeight w:hRule="exact" w:val="360"/>
        </w:trPr>
        <w:tc>
          <w:tcPr>
            <w:cnfStyle w:val="001000000000" w:firstRow="0" w:lastRow="0" w:firstColumn="1" w:lastColumn="0" w:oddVBand="0" w:evenVBand="0" w:oddHBand="0" w:evenHBand="0" w:firstRowFirstColumn="0" w:firstRowLastColumn="0" w:lastRowFirstColumn="0" w:lastRowLastColumn="0"/>
            <w:tcW w:w="985" w:type="dxa"/>
            <w:tcMar>
              <w:top w:w="72" w:type="dxa"/>
              <w:left w:w="115" w:type="dxa"/>
              <w:bottom w:w="72" w:type="dxa"/>
              <w:right w:w="115" w:type="dxa"/>
            </w:tcMar>
            <w:vAlign w:val="center"/>
          </w:tcPr>
          <w:p w14:paraId="5F35BAD3" w14:textId="77777777" w:rsidR="00FF3B71" w:rsidRPr="007528C7" w:rsidRDefault="00FF3B71" w:rsidP="007528C7">
            <w:pPr>
              <w:spacing w:before="0"/>
            </w:pPr>
            <w:r w:rsidRPr="007528C7">
              <w:t>GCP</w:t>
            </w:r>
          </w:p>
        </w:tc>
        <w:tc>
          <w:tcPr>
            <w:tcW w:w="6644" w:type="dxa"/>
            <w:tcMar>
              <w:top w:w="72" w:type="dxa"/>
              <w:left w:w="115" w:type="dxa"/>
              <w:bottom w:w="72" w:type="dxa"/>
              <w:right w:w="115" w:type="dxa"/>
            </w:tcMar>
            <w:vAlign w:val="center"/>
          </w:tcPr>
          <w:p w14:paraId="2B4D1C1A" w14:textId="77777777"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pPr>
            <w:r w:rsidRPr="007528C7">
              <w:t>Good Clinical Practice</w:t>
            </w:r>
          </w:p>
        </w:tc>
      </w:tr>
      <w:tr w:rsidR="00FF3B71" w:rsidRPr="00E87067" w14:paraId="6DD84547" w14:textId="77777777" w:rsidTr="007528C7">
        <w:trPr>
          <w:trHeight w:hRule="exact" w:val="360"/>
        </w:trPr>
        <w:tc>
          <w:tcPr>
            <w:cnfStyle w:val="001000000000" w:firstRow="0" w:lastRow="0" w:firstColumn="1" w:lastColumn="0" w:oddVBand="0" w:evenVBand="0" w:oddHBand="0" w:evenHBand="0" w:firstRowFirstColumn="0" w:firstRowLastColumn="0" w:lastRowFirstColumn="0" w:lastRowLastColumn="0"/>
            <w:tcW w:w="985" w:type="dxa"/>
            <w:tcMar>
              <w:top w:w="72" w:type="dxa"/>
              <w:left w:w="115" w:type="dxa"/>
              <w:bottom w:w="72" w:type="dxa"/>
              <w:right w:w="115" w:type="dxa"/>
            </w:tcMar>
            <w:vAlign w:val="center"/>
          </w:tcPr>
          <w:p w14:paraId="3AB6041C" w14:textId="77777777" w:rsidR="00FF3B71" w:rsidRPr="007528C7" w:rsidRDefault="00FF3B71" w:rsidP="007528C7">
            <w:pPr>
              <w:spacing w:before="0"/>
            </w:pPr>
            <w:r w:rsidRPr="007528C7">
              <w:t>GDP</w:t>
            </w:r>
          </w:p>
        </w:tc>
        <w:tc>
          <w:tcPr>
            <w:tcW w:w="6644" w:type="dxa"/>
            <w:tcMar>
              <w:top w:w="72" w:type="dxa"/>
              <w:left w:w="115" w:type="dxa"/>
              <w:bottom w:w="72" w:type="dxa"/>
              <w:right w:w="115" w:type="dxa"/>
            </w:tcMar>
            <w:vAlign w:val="center"/>
          </w:tcPr>
          <w:p w14:paraId="73C87FB5" w14:textId="77777777"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pPr>
            <w:r w:rsidRPr="007528C7">
              <w:t>Good Documentation Practices</w:t>
            </w:r>
          </w:p>
        </w:tc>
      </w:tr>
      <w:tr w:rsidR="00FF3B71" w:rsidRPr="00E87067" w14:paraId="5E725C52" w14:textId="77777777" w:rsidTr="007528C7">
        <w:trPr>
          <w:trHeight w:hRule="exact" w:val="360"/>
        </w:trPr>
        <w:tc>
          <w:tcPr>
            <w:cnfStyle w:val="001000000000" w:firstRow="0" w:lastRow="0" w:firstColumn="1" w:lastColumn="0" w:oddVBand="0" w:evenVBand="0" w:oddHBand="0" w:evenHBand="0" w:firstRowFirstColumn="0" w:firstRowLastColumn="0" w:lastRowFirstColumn="0" w:lastRowLastColumn="0"/>
            <w:tcW w:w="985" w:type="dxa"/>
            <w:tcMar>
              <w:top w:w="72" w:type="dxa"/>
              <w:left w:w="115" w:type="dxa"/>
              <w:bottom w:w="72" w:type="dxa"/>
              <w:right w:w="115" w:type="dxa"/>
            </w:tcMar>
            <w:vAlign w:val="center"/>
          </w:tcPr>
          <w:p w14:paraId="1CE69ED2" w14:textId="77777777" w:rsidR="00FF3B71" w:rsidRPr="007528C7" w:rsidRDefault="00FF3B71" w:rsidP="007528C7">
            <w:pPr>
              <w:spacing w:before="0"/>
            </w:pPr>
            <w:r w:rsidRPr="007528C7">
              <w:t>IB</w:t>
            </w:r>
          </w:p>
        </w:tc>
        <w:tc>
          <w:tcPr>
            <w:tcW w:w="6644" w:type="dxa"/>
            <w:tcMar>
              <w:top w:w="72" w:type="dxa"/>
              <w:left w:w="115" w:type="dxa"/>
              <w:bottom w:w="72" w:type="dxa"/>
              <w:right w:w="115" w:type="dxa"/>
            </w:tcMar>
            <w:vAlign w:val="center"/>
          </w:tcPr>
          <w:p w14:paraId="566792AA" w14:textId="77777777"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pPr>
            <w:r w:rsidRPr="007528C7">
              <w:t>Investigator’s Brochure</w:t>
            </w:r>
          </w:p>
        </w:tc>
      </w:tr>
      <w:tr w:rsidR="00FF3B71" w:rsidRPr="00E87067" w14:paraId="20924425" w14:textId="77777777" w:rsidTr="007528C7">
        <w:trPr>
          <w:trHeight w:hRule="exact" w:val="360"/>
        </w:trPr>
        <w:tc>
          <w:tcPr>
            <w:cnfStyle w:val="001000000000" w:firstRow="0" w:lastRow="0" w:firstColumn="1" w:lastColumn="0" w:oddVBand="0" w:evenVBand="0" w:oddHBand="0" w:evenHBand="0" w:firstRowFirstColumn="0" w:firstRowLastColumn="0" w:lastRowFirstColumn="0" w:lastRowLastColumn="0"/>
            <w:tcW w:w="985" w:type="dxa"/>
            <w:tcMar>
              <w:top w:w="72" w:type="dxa"/>
              <w:left w:w="115" w:type="dxa"/>
              <w:bottom w:w="72" w:type="dxa"/>
              <w:right w:w="115" w:type="dxa"/>
            </w:tcMar>
            <w:vAlign w:val="center"/>
          </w:tcPr>
          <w:p w14:paraId="644CAA73" w14:textId="77777777" w:rsidR="00FF3B71" w:rsidRPr="007528C7" w:rsidRDefault="00FF3B71" w:rsidP="007528C7">
            <w:pPr>
              <w:spacing w:before="0"/>
            </w:pPr>
            <w:r w:rsidRPr="007528C7">
              <w:t>ICH</w:t>
            </w:r>
          </w:p>
        </w:tc>
        <w:tc>
          <w:tcPr>
            <w:tcW w:w="6644" w:type="dxa"/>
            <w:tcMar>
              <w:top w:w="72" w:type="dxa"/>
              <w:left w:w="115" w:type="dxa"/>
              <w:bottom w:w="72" w:type="dxa"/>
              <w:right w:w="115" w:type="dxa"/>
            </w:tcMar>
            <w:vAlign w:val="center"/>
          </w:tcPr>
          <w:p w14:paraId="6C33F6DC" w14:textId="77777777"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pPr>
            <w:r w:rsidRPr="007528C7">
              <w:t>International Conference on Harmonization</w:t>
            </w:r>
          </w:p>
        </w:tc>
      </w:tr>
      <w:tr w:rsidR="00FF3B71" w:rsidRPr="00E87067" w14:paraId="1F6D2374" w14:textId="77777777" w:rsidTr="007528C7">
        <w:trPr>
          <w:trHeight w:hRule="exact" w:val="360"/>
        </w:trPr>
        <w:tc>
          <w:tcPr>
            <w:cnfStyle w:val="001000000000" w:firstRow="0" w:lastRow="0" w:firstColumn="1" w:lastColumn="0" w:oddVBand="0" w:evenVBand="0" w:oddHBand="0" w:evenHBand="0" w:firstRowFirstColumn="0" w:firstRowLastColumn="0" w:lastRowFirstColumn="0" w:lastRowLastColumn="0"/>
            <w:tcW w:w="985" w:type="dxa"/>
            <w:tcMar>
              <w:top w:w="72" w:type="dxa"/>
              <w:left w:w="115" w:type="dxa"/>
              <w:bottom w:w="72" w:type="dxa"/>
              <w:right w:w="115" w:type="dxa"/>
            </w:tcMar>
            <w:vAlign w:val="center"/>
          </w:tcPr>
          <w:p w14:paraId="264CFA69" w14:textId="77777777" w:rsidR="00FF3B71" w:rsidRPr="007528C7" w:rsidRDefault="00FF3B71" w:rsidP="007528C7">
            <w:pPr>
              <w:spacing w:before="0"/>
            </w:pPr>
            <w:r w:rsidRPr="007528C7">
              <w:t>IDE</w:t>
            </w:r>
          </w:p>
        </w:tc>
        <w:tc>
          <w:tcPr>
            <w:tcW w:w="6644" w:type="dxa"/>
            <w:tcMar>
              <w:top w:w="72" w:type="dxa"/>
              <w:left w:w="115" w:type="dxa"/>
              <w:bottom w:w="72" w:type="dxa"/>
              <w:right w:w="115" w:type="dxa"/>
            </w:tcMar>
            <w:vAlign w:val="center"/>
          </w:tcPr>
          <w:p w14:paraId="722F661C" w14:textId="77777777"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pPr>
            <w:r w:rsidRPr="007528C7">
              <w:t>Investigational Device Exemption</w:t>
            </w:r>
          </w:p>
        </w:tc>
      </w:tr>
      <w:tr w:rsidR="00FF3B71" w:rsidRPr="00E87067" w14:paraId="51EFF919" w14:textId="77777777" w:rsidTr="007528C7">
        <w:trPr>
          <w:trHeight w:hRule="exact" w:val="360"/>
        </w:trPr>
        <w:tc>
          <w:tcPr>
            <w:cnfStyle w:val="001000000000" w:firstRow="0" w:lastRow="0" w:firstColumn="1" w:lastColumn="0" w:oddVBand="0" w:evenVBand="0" w:oddHBand="0" w:evenHBand="0" w:firstRowFirstColumn="0" w:firstRowLastColumn="0" w:lastRowFirstColumn="0" w:lastRowLastColumn="0"/>
            <w:tcW w:w="985" w:type="dxa"/>
            <w:tcMar>
              <w:top w:w="72" w:type="dxa"/>
              <w:left w:w="115" w:type="dxa"/>
              <w:bottom w:w="72" w:type="dxa"/>
              <w:right w:w="115" w:type="dxa"/>
            </w:tcMar>
            <w:vAlign w:val="center"/>
          </w:tcPr>
          <w:p w14:paraId="38F5E68B" w14:textId="77777777" w:rsidR="00FF3B71" w:rsidRPr="007528C7" w:rsidRDefault="00FF3B71" w:rsidP="007528C7">
            <w:pPr>
              <w:spacing w:before="0"/>
            </w:pPr>
            <w:r w:rsidRPr="007528C7">
              <w:t>IEC</w:t>
            </w:r>
          </w:p>
        </w:tc>
        <w:tc>
          <w:tcPr>
            <w:tcW w:w="6644" w:type="dxa"/>
            <w:tcMar>
              <w:top w:w="72" w:type="dxa"/>
              <w:left w:w="115" w:type="dxa"/>
              <w:bottom w:w="72" w:type="dxa"/>
              <w:right w:w="115" w:type="dxa"/>
            </w:tcMar>
            <w:vAlign w:val="center"/>
          </w:tcPr>
          <w:p w14:paraId="4C9A2E53" w14:textId="77777777"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pPr>
            <w:r w:rsidRPr="007528C7">
              <w:t>Independent or Institutional Ethics Committee</w:t>
            </w:r>
          </w:p>
        </w:tc>
      </w:tr>
      <w:tr w:rsidR="00FF3B71" w:rsidRPr="00E87067" w14:paraId="26C8D8FC" w14:textId="77777777" w:rsidTr="007528C7">
        <w:trPr>
          <w:trHeight w:hRule="exact" w:val="360"/>
        </w:trPr>
        <w:tc>
          <w:tcPr>
            <w:cnfStyle w:val="001000000000" w:firstRow="0" w:lastRow="0" w:firstColumn="1" w:lastColumn="0" w:oddVBand="0" w:evenVBand="0" w:oddHBand="0" w:evenHBand="0" w:firstRowFirstColumn="0" w:firstRowLastColumn="0" w:lastRowFirstColumn="0" w:lastRowLastColumn="0"/>
            <w:tcW w:w="985" w:type="dxa"/>
            <w:tcMar>
              <w:top w:w="72" w:type="dxa"/>
              <w:left w:w="115" w:type="dxa"/>
              <w:bottom w:w="72" w:type="dxa"/>
              <w:right w:w="115" w:type="dxa"/>
            </w:tcMar>
            <w:vAlign w:val="center"/>
          </w:tcPr>
          <w:p w14:paraId="7E3410D7" w14:textId="77777777" w:rsidR="00FF3B71" w:rsidRPr="007528C7" w:rsidRDefault="00FF3B71" w:rsidP="007528C7">
            <w:pPr>
              <w:spacing w:before="0"/>
            </w:pPr>
            <w:r w:rsidRPr="007528C7">
              <w:t>IOR</w:t>
            </w:r>
          </w:p>
        </w:tc>
        <w:tc>
          <w:tcPr>
            <w:tcW w:w="6644" w:type="dxa"/>
            <w:tcMar>
              <w:top w:w="72" w:type="dxa"/>
              <w:left w:w="115" w:type="dxa"/>
              <w:bottom w:w="72" w:type="dxa"/>
              <w:right w:w="115" w:type="dxa"/>
            </w:tcMar>
            <w:vAlign w:val="center"/>
          </w:tcPr>
          <w:p w14:paraId="2E77035D" w14:textId="77777777"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pPr>
            <w:r w:rsidRPr="007528C7">
              <w:t>Investigator of Record</w:t>
            </w:r>
          </w:p>
        </w:tc>
      </w:tr>
      <w:tr w:rsidR="00FF3B71" w:rsidRPr="00E87067" w14:paraId="5B0EAA0B" w14:textId="77777777" w:rsidTr="007528C7">
        <w:trPr>
          <w:trHeight w:hRule="exact" w:val="360"/>
        </w:trPr>
        <w:tc>
          <w:tcPr>
            <w:cnfStyle w:val="001000000000" w:firstRow="0" w:lastRow="0" w:firstColumn="1" w:lastColumn="0" w:oddVBand="0" w:evenVBand="0" w:oddHBand="0" w:evenHBand="0" w:firstRowFirstColumn="0" w:firstRowLastColumn="0" w:lastRowFirstColumn="0" w:lastRowLastColumn="0"/>
            <w:tcW w:w="985" w:type="dxa"/>
            <w:tcMar>
              <w:top w:w="72" w:type="dxa"/>
              <w:left w:w="115" w:type="dxa"/>
              <w:bottom w:w="72" w:type="dxa"/>
              <w:right w:w="115" w:type="dxa"/>
            </w:tcMar>
            <w:vAlign w:val="center"/>
          </w:tcPr>
          <w:p w14:paraId="0238F8FE" w14:textId="77777777" w:rsidR="00FF3B71" w:rsidRPr="007528C7" w:rsidRDefault="00FF3B71" w:rsidP="007528C7">
            <w:pPr>
              <w:spacing w:before="0"/>
            </w:pPr>
            <w:r w:rsidRPr="007528C7">
              <w:t>IND</w:t>
            </w:r>
          </w:p>
        </w:tc>
        <w:tc>
          <w:tcPr>
            <w:tcW w:w="6644" w:type="dxa"/>
            <w:tcMar>
              <w:top w:w="72" w:type="dxa"/>
              <w:left w:w="115" w:type="dxa"/>
              <w:bottom w:w="72" w:type="dxa"/>
              <w:right w:w="115" w:type="dxa"/>
            </w:tcMar>
            <w:vAlign w:val="center"/>
          </w:tcPr>
          <w:p w14:paraId="5EB4D9A6" w14:textId="77777777"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pPr>
            <w:r w:rsidRPr="007528C7">
              <w:t>Investigational New Drug Application</w:t>
            </w:r>
          </w:p>
        </w:tc>
      </w:tr>
      <w:tr w:rsidR="00FF3B71" w:rsidRPr="00E87067" w14:paraId="133F648D" w14:textId="77777777" w:rsidTr="007528C7">
        <w:trPr>
          <w:trHeight w:hRule="exact" w:val="360"/>
        </w:trPr>
        <w:tc>
          <w:tcPr>
            <w:cnfStyle w:val="001000000000" w:firstRow="0" w:lastRow="0" w:firstColumn="1" w:lastColumn="0" w:oddVBand="0" w:evenVBand="0" w:oddHBand="0" w:evenHBand="0" w:firstRowFirstColumn="0" w:firstRowLastColumn="0" w:lastRowFirstColumn="0" w:lastRowLastColumn="0"/>
            <w:tcW w:w="985" w:type="dxa"/>
            <w:tcMar>
              <w:top w:w="72" w:type="dxa"/>
              <w:left w:w="115" w:type="dxa"/>
              <w:bottom w:w="72" w:type="dxa"/>
              <w:right w:w="115" w:type="dxa"/>
            </w:tcMar>
            <w:vAlign w:val="center"/>
          </w:tcPr>
          <w:p w14:paraId="5C9E58B0" w14:textId="77777777" w:rsidR="00FF3B71" w:rsidRPr="007528C7" w:rsidRDefault="00FF3B71" w:rsidP="007528C7">
            <w:pPr>
              <w:spacing w:before="0"/>
            </w:pPr>
            <w:r w:rsidRPr="007528C7">
              <w:t>IRB</w:t>
            </w:r>
          </w:p>
        </w:tc>
        <w:tc>
          <w:tcPr>
            <w:tcW w:w="6644" w:type="dxa"/>
            <w:tcMar>
              <w:top w:w="72" w:type="dxa"/>
              <w:left w:w="115" w:type="dxa"/>
              <w:bottom w:w="72" w:type="dxa"/>
              <w:right w:w="115" w:type="dxa"/>
            </w:tcMar>
            <w:vAlign w:val="center"/>
          </w:tcPr>
          <w:p w14:paraId="41BD38F8" w14:textId="77777777"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pPr>
            <w:r w:rsidRPr="007528C7">
              <w:t>Institutional Review Board</w:t>
            </w:r>
          </w:p>
        </w:tc>
      </w:tr>
      <w:tr w:rsidR="00FF3B71" w:rsidRPr="00E87067" w14:paraId="2B81C697" w14:textId="77777777" w:rsidTr="007528C7">
        <w:trPr>
          <w:trHeight w:hRule="exact" w:val="360"/>
        </w:trPr>
        <w:tc>
          <w:tcPr>
            <w:cnfStyle w:val="001000000000" w:firstRow="0" w:lastRow="0" w:firstColumn="1" w:lastColumn="0" w:oddVBand="0" w:evenVBand="0" w:oddHBand="0" w:evenHBand="0" w:firstRowFirstColumn="0" w:firstRowLastColumn="0" w:lastRowFirstColumn="0" w:lastRowLastColumn="0"/>
            <w:tcW w:w="985" w:type="dxa"/>
            <w:tcMar>
              <w:top w:w="72" w:type="dxa"/>
              <w:left w:w="115" w:type="dxa"/>
              <w:bottom w:w="72" w:type="dxa"/>
              <w:right w:w="115" w:type="dxa"/>
            </w:tcMar>
            <w:vAlign w:val="center"/>
          </w:tcPr>
          <w:p w14:paraId="020142A1" w14:textId="77777777" w:rsidR="00FF3B71" w:rsidRPr="007528C7" w:rsidRDefault="00FF3B71" w:rsidP="007528C7">
            <w:pPr>
              <w:spacing w:before="0"/>
            </w:pPr>
            <w:r w:rsidRPr="007528C7">
              <w:t>MOP</w:t>
            </w:r>
          </w:p>
        </w:tc>
        <w:tc>
          <w:tcPr>
            <w:tcW w:w="6644" w:type="dxa"/>
            <w:tcMar>
              <w:top w:w="72" w:type="dxa"/>
              <w:left w:w="115" w:type="dxa"/>
              <w:bottom w:w="72" w:type="dxa"/>
              <w:right w:w="115" w:type="dxa"/>
            </w:tcMar>
            <w:vAlign w:val="center"/>
          </w:tcPr>
          <w:p w14:paraId="0565BFF5" w14:textId="77777777"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pPr>
            <w:r w:rsidRPr="007528C7">
              <w:t>Manual of Procedures</w:t>
            </w:r>
          </w:p>
        </w:tc>
      </w:tr>
      <w:tr w:rsidR="00FF3B71" w:rsidRPr="00E87067" w14:paraId="39DB0F88" w14:textId="77777777" w:rsidTr="007528C7">
        <w:trPr>
          <w:trHeight w:hRule="exact" w:val="360"/>
        </w:trPr>
        <w:tc>
          <w:tcPr>
            <w:cnfStyle w:val="001000000000" w:firstRow="0" w:lastRow="0" w:firstColumn="1" w:lastColumn="0" w:oddVBand="0" w:evenVBand="0" w:oddHBand="0" w:evenHBand="0" w:firstRowFirstColumn="0" w:firstRowLastColumn="0" w:lastRowFirstColumn="0" w:lastRowLastColumn="0"/>
            <w:tcW w:w="985" w:type="dxa"/>
            <w:tcMar>
              <w:top w:w="72" w:type="dxa"/>
              <w:left w:w="115" w:type="dxa"/>
              <w:bottom w:w="72" w:type="dxa"/>
              <w:right w:w="115" w:type="dxa"/>
            </w:tcMar>
            <w:vAlign w:val="center"/>
          </w:tcPr>
          <w:p w14:paraId="2CAC5C40" w14:textId="77777777" w:rsidR="00FF3B71" w:rsidRPr="007528C7" w:rsidRDefault="00FF3B71" w:rsidP="007528C7">
            <w:pPr>
              <w:spacing w:before="0"/>
            </w:pPr>
            <w:r w:rsidRPr="007528C7">
              <w:t>NF</w:t>
            </w:r>
          </w:p>
        </w:tc>
        <w:tc>
          <w:tcPr>
            <w:tcW w:w="6644" w:type="dxa"/>
            <w:tcMar>
              <w:top w:w="72" w:type="dxa"/>
              <w:left w:w="115" w:type="dxa"/>
              <w:bottom w:w="72" w:type="dxa"/>
              <w:right w:w="115" w:type="dxa"/>
            </w:tcMar>
            <w:vAlign w:val="center"/>
          </w:tcPr>
          <w:p w14:paraId="6B5BBFD4" w14:textId="77777777"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pPr>
            <w:r w:rsidRPr="007528C7">
              <w:t>National Formulary</w:t>
            </w:r>
          </w:p>
        </w:tc>
      </w:tr>
      <w:tr w:rsidR="00FF3B71" w:rsidRPr="00E87067" w14:paraId="2D72BED4" w14:textId="77777777" w:rsidTr="007528C7">
        <w:trPr>
          <w:trHeight w:hRule="exact" w:val="360"/>
        </w:trPr>
        <w:tc>
          <w:tcPr>
            <w:cnfStyle w:val="001000000000" w:firstRow="0" w:lastRow="0" w:firstColumn="1" w:lastColumn="0" w:oddVBand="0" w:evenVBand="0" w:oddHBand="0" w:evenHBand="0" w:firstRowFirstColumn="0" w:firstRowLastColumn="0" w:lastRowFirstColumn="0" w:lastRowLastColumn="0"/>
            <w:tcW w:w="985" w:type="dxa"/>
            <w:tcMar>
              <w:top w:w="72" w:type="dxa"/>
              <w:left w:w="115" w:type="dxa"/>
              <w:bottom w:w="72" w:type="dxa"/>
              <w:right w:w="115" w:type="dxa"/>
            </w:tcMar>
            <w:vAlign w:val="center"/>
          </w:tcPr>
          <w:p w14:paraId="23EF98AB" w14:textId="77777777" w:rsidR="00FF3B71" w:rsidRPr="007528C7" w:rsidRDefault="00FF3B71" w:rsidP="007528C7">
            <w:pPr>
              <w:spacing w:before="0"/>
            </w:pPr>
            <w:r w:rsidRPr="007528C7">
              <w:t>NIH</w:t>
            </w:r>
          </w:p>
        </w:tc>
        <w:tc>
          <w:tcPr>
            <w:tcW w:w="6644" w:type="dxa"/>
            <w:tcMar>
              <w:top w:w="72" w:type="dxa"/>
              <w:left w:w="115" w:type="dxa"/>
              <w:bottom w:w="72" w:type="dxa"/>
              <w:right w:w="115" w:type="dxa"/>
            </w:tcMar>
            <w:vAlign w:val="center"/>
          </w:tcPr>
          <w:p w14:paraId="39C09DCE" w14:textId="77777777"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pPr>
            <w:r w:rsidRPr="007528C7">
              <w:t>National Institutes of Health</w:t>
            </w:r>
          </w:p>
        </w:tc>
      </w:tr>
      <w:tr w:rsidR="00FF3B71" w:rsidRPr="00E87067" w14:paraId="20FD4447" w14:textId="77777777" w:rsidTr="007528C7">
        <w:trPr>
          <w:trHeight w:hRule="exact" w:val="360"/>
        </w:trPr>
        <w:tc>
          <w:tcPr>
            <w:cnfStyle w:val="001000000000" w:firstRow="0" w:lastRow="0" w:firstColumn="1" w:lastColumn="0" w:oddVBand="0" w:evenVBand="0" w:oddHBand="0" w:evenHBand="0" w:firstRowFirstColumn="0" w:firstRowLastColumn="0" w:lastRowFirstColumn="0" w:lastRowLastColumn="0"/>
            <w:tcW w:w="985" w:type="dxa"/>
            <w:tcMar>
              <w:top w:w="72" w:type="dxa"/>
              <w:left w:w="115" w:type="dxa"/>
              <w:bottom w:w="72" w:type="dxa"/>
              <w:right w:w="115" w:type="dxa"/>
            </w:tcMar>
            <w:vAlign w:val="center"/>
          </w:tcPr>
          <w:p w14:paraId="260FA070" w14:textId="77777777" w:rsidR="00FF3B71" w:rsidRPr="007528C7" w:rsidRDefault="00FF3B71" w:rsidP="007528C7">
            <w:pPr>
              <w:spacing w:before="0"/>
            </w:pPr>
            <w:r w:rsidRPr="007528C7">
              <w:t>NIAID</w:t>
            </w:r>
          </w:p>
        </w:tc>
        <w:tc>
          <w:tcPr>
            <w:tcW w:w="6644" w:type="dxa"/>
            <w:tcMar>
              <w:top w:w="72" w:type="dxa"/>
              <w:left w:w="115" w:type="dxa"/>
              <w:bottom w:w="72" w:type="dxa"/>
              <w:right w:w="115" w:type="dxa"/>
            </w:tcMar>
            <w:vAlign w:val="center"/>
          </w:tcPr>
          <w:p w14:paraId="408A9EDC" w14:textId="77777777"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pPr>
            <w:r w:rsidRPr="007528C7">
              <w:t>National Institute of Allergy and Infectious Diseases, NIH, DHHS</w:t>
            </w:r>
          </w:p>
        </w:tc>
      </w:tr>
      <w:tr w:rsidR="00FF3B71" w:rsidRPr="00E87067" w14:paraId="0F30FC46" w14:textId="77777777" w:rsidTr="007528C7">
        <w:trPr>
          <w:trHeight w:hRule="exact" w:val="360"/>
        </w:trPr>
        <w:tc>
          <w:tcPr>
            <w:cnfStyle w:val="001000000000" w:firstRow="0" w:lastRow="0" w:firstColumn="1" w:lastColumn="0" w:oddVBand="0" w:evenVBand="0" w:oddHBand="0" w:evenHBand="0" w:firstRowFirstColumn="0" w:firstRowLastColumn="0" w:lastRowFirstColumn="0" w:lastRowLastColumn="0"/>
            <w:tcW w:w="985" w:type="dxa"/>
            <w:tcMar>
              <w:top w:w="72" w:type="dxa"/>
              <w:left w:w="115" w:type="dxa"/>
              <w:bottom w:w="72" w:type="dxa"/>
              <w:right w:w="115" w:type="dxa"/>
            </w:tcMar>
            <w:vAlign w:val="center"/>
          </w:tcPr>
          <w:p w14:paraId="2F310FEA" w14:textId="77777777" w:rsidR="00FF3B71" w:rsidRPr="007528C7" w:rsidRDefault="00FF3B71" w:rsidP="007528C7">
            <w:pPr>
              <w:spacing w:before="0"/>
            </w:pPr>
            <w:r w:rsidRPr="007528C7">
              <w:t>PI</w:t>
            </w:r>
          </w:p>
        </w:tc>
        <w:tc>
          <w:tcPr>
            <w:tcW w:w="6644" w:type="dxa"/>
            <w:tcMar>
              <w:top w:w="72" w:type="dxa"/>
              <w:left w:w="115" w:type="dxa"/>
              <w:bottom w:w="72" w:type="dxa"/>
              <w:right w:w="115" w:type="dxa"/>
            </w:tcMar>
            <w:vAlign w:val="center"/>
          </w:tcPr>
          <w:p w14:paraId="083C5FB9" w14:textId="77777777"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pPr>
            <w:r w:rsidRPr="007528C7">
              <w:t>Principal Investigator</w:t>
            </w:r>
          </w:p>
        </w:tc>
      </w:tr>
      <w:tr w:rsidR="00FF3B71" w:rsidRPr="00E87067" w14:paraId="48B44415" w14:textId="77777777" w:rsidTr="007528C7">
        <w:trPr>
          <w:trHeight w:hRule="exact" w:val="360"/>
        </w:trPr>
        <w:tc>
          <w:tcPr>
            <w:cnfStyle w:val="001000000000" w:firstRow="0" w:lastRow="0" w:firstColumn="1" w:lastColumn="0" w:oddVBand="0" w:evenVBand="0" w:oddHBand="0" w:evenHBand="0" w:firstRowFirstColumn="0" w:firstRowLastColumn="0" w:lastRowFirstColumn="0" w:lastRowLastColumn="0"/>
            <w:tcW w:w="985" w:type="dxa"/>
            <w:tcMar>
              <w:top w:w="72" w:type="dxa"/>
              <w:left w:w="115" w:type="dxa"/>
              <w:bottom w:w="72" w:type="dxa"/>
              <w:right w:w="115" w:type="dxa"/>
            </w:tcMar>
            <w:vAlign w:val="center"/>
          </w:tcPr>
          <w:p w14:paraId="654AC884" w14:textId="77777777" w:rsidR="00FF3B71" w:rsidRPr="007528C7" w:rsidRDefault="00FF3B71" w:rsidP="007528C7">
            <w:pPr>
              <w:spacing w:before="0"/>
            </w:pPr>
            <w:r w:rsidRPr="007528C7">
              <w:t>PPI</w:t>
            </w:r>
          </w:p>
        </w:tc>
        <w:tc>
          <w:tcPr>
            <w:tcW w:w="6644" w:type="dxa"/>
            <w:tcMar>
              <w:top w:w="72" w:type="dxa"/>
              <w:left w:w="115" w:type="dxa"/>
              <w:bottom w:w="72" w:type="dxa"/>
              <w:right w:w="115" w:type="dxa"/>
            </w:tcMar>
            <w:vAlign w:val="center"/>
          </w:tcPr>
          <w:p w14:paraId="00FB6DE9" w14:textId="77777777"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pPr>
            <w:r w:rsidRPr="007528C7">
              <w:t>Product Package Insert</w:t>
            </w:r>
          </w:p>
        </w:tc>
      </w:tr>
      <w:tr w:rsidR="00FF3B71" w:rsidRPr="00E87067" w14:paraId="2B998680" w14:textId="77777777" w:rsidTr="007528C7">
        <w:trPr>
          <w:trHeight w:hRule="exact" w:val="360"/>
        </w:trPr>
        <w:tc>
          <w:tcPr>
            <w:cnfStyle w:val="001000000000" w:firstRow="0" w:lastRow="0" w:firstColumn="1" w:lastColumn="0" w:oddVBand="0" w:evenVBand="0" w:oddHBand="0" w:evenHBand="0" w:firstRowFirstColumn="0" w:firstRowLastColumn="0" w:lastRowFirstColumn="0" w:lastRowLastColumn="0"/>
            <w:tcW w:w="985" w:type="dxa"/>
            <w:tcMar>
              <w:top w:w="72" w:type="dxa"/>
              <w:left w:w="115" w:type="dxa"/>
              <w:bottom w:w="72" w:type="dxa"/>
              <w:right w:w="115" w:type="dxa"/>
            </w:tcMar>
            <w:vAlign w:val="center"/>
          </w:tcPr>
          <w:p w14:paraId="46A4BB90" w14:textId="77777777" w:rsidR="00FF3B71" w:rsidRPr="007528C7" w:rsidRDefault="00FF3B71" w:rsidP="007528C7">
            <w:pPr>
              <w:spacing w:before="0"/>
            </w:pPr>
            <w:r w:rsidRPr="007528C7">
              <w:t>PST</w:t>
            </w:r>
          </w:p>
        </w:tc>
        <w:tc>
          <w:tcPr>
            <w:tcW w:w="6644" w:type="dxa"/>
            <w:tcMar>
              <w:top w:w="72" w:type="dxa"/>
              <w:left w:w="115" w:type="dxa"/>
              <w:bottom w:w="72" w:type="dxa"/>
              <w:right w:w="115" w:type="dxa"/>
            </w:tcMar>
            <w:vAlign w:val="center"/>
          </w:tcPr>
          <w:p w14:paraId="38BC51C3" w14:textId="77777777"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pPr>
            <w:r w:rsidRPr="007528C7">
              <w:t>Product Support Team</w:t>
            </w:r>
          </w:p>
        </w:tc>
      </w:tr>
      <w:tr w:rsidR="00FF3B71" w:rsidRPr="00E87067" w14:paraId="2C772C74" w14:textId="77777777" w:rsidTr="007528C7">
        <w:trPr>
          <w:trHeight w:hRule="exact" w:val="360"/>
        </w:trPr>
        <w:tc>
          <w:tcPr>
            <w:cnfStyle w:val="001000000000" w:firstRow="0" w:lastRow="0" w:firstColumn="1" w:lastColumn="0" w:oddVBand="0" w:evenVBand="0" w:oddHBand="0" w:evenHBand="0" w:firstRowFirstColumn="0" w:firstRowLastColumn="0" w:lastRowFirstColumn="0" w:lastRowLastColumn="0"/>
            <w:tcW w:w="985" w:type="dxa"/>
            <w:tcMar>
              <w:top w:w="72" w:type="dxa"/>
              <w:left w:w="115" w:type="dxa"/>
              <w:bottom w:w="72" w:type="dxa"/>
              <w:right w:w="115" w:type="dxa"/>
            </w:tcMar>
            <w:vAlign w:val="center"/>
          </w:tcPr>
          <w:p w14:paraId="3BC99C1D" w14:textId="77777777" w:rsidR="00FF3B71" w:rsidRPr="007528C7" w:rsidRDefault="00FF3B71" w:rsidP="007528C7">
            <w:pPr>
              <w:spacing w:before="0"/>
            </w:pPr>
            <w:r w:rsidRPr="007528C7">
              <w:t>SOP</w:t>
            </w:r>
          </w:p>
        </w:tc>
        <w:tc>
          <w:tcPr>
            <w:tcW w:w="6644" w:type="dxa"/>
            <w:tcMar>
              <w:top w:w="72" w:type="dxa"/>
              <w:left w:w="115" w:type="dxa"/>
              <w:bottom w:w="72" w:type="dxa"/>
              <w:right w:w="115" w:type="dxa"/>
            </w:tcMar>
            <w:vAlign w:val="center"/>
          </w:tcPr>
          <w:p w14:paraId="4076E68B" w14:textId="77777777"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pPr>
            <w:r w:rsidRPr="007528C7">
              <w:t>Standard Operating Procedures</w:t>
            </w:r>
          </w:p>
        </w:tc>
      </w:tr>
      <w:tr w:rsidR="00687144" w:rsidRPr="00E87067" w14:paraId="365AAA52" w14:textId="77777777" w:rsidTr="007528C7">
        <w:trPr>
          <w:trHeight w:hRule="exact" w:val="360"/>
        </w:trPr>
        <w:tc>
          <w:tcPr>
            <w:cnfStyle w:val="001000000000" w:firstRow="0" w:lastRow="0" w:firstColumn="1" w:lastColumn="0" w:oddVBand="0" w:evenVBand="0" w:oddHBand="0" w:evenHBand="0" w:firstRowFirstColumn="0" w:firstRowLastColumn="0" w:lastRowFirstColumn="0" w:lastRowLastColumn="0"/>
            <w:tcW w:w="985" w:type="dxa"/>
            <w:tcMar>
              <w:top w:w="72" w:type="dxa"/>
              <w:left w:w="115" w:type="dxa"/>
              <w:bottom w:w="72" w:type="dxa"/>
              <w:right w:w="115" w:type="dxa"/>
            </w:tcMar>
            <w:vAlign w:val="center"/>
          </w:tcPr>
          <w:p w14:paraId="10638E1A" w14:textId="16264BFA" w:rsidR="00687144" w:rsidRPr="007528C7" w:rsidRDefault="00687144" w:rsidP="007528C7">
            <w:pPr>
              <w:spacing w:before="0"/>
            </w:pPr>
            <w:r w:rsidRPr="007528C7">
              <w:t>SPMP</w:t>
            </w:r>
          </w:p>
        </w:tc>
        <w:tc>
          <w:tcPr>
            <w:tcW w:w="6644" w:type="dxa"/>
            <w:tcMar>
              <w:top w:w="72" w:type="dxa"/>
              <w:left w:w="115" w:type="dxa"/>
              <w:bottom w:w="72" w:type="dxa"/>
              <w:right w:w="115" w:type="dxa"/>
            </w:tcMar>
            <w:vAlign w:val="center"/>
          </w:tcPr>
          <w:p w14:paraId="564F2C13" w14:textId="37AC1894" w:rsidR="00687144" w:rsidRPr="007528C7" w:rsidRDefault="00687144" w:rsidP="007528C7">
            <w:pPr>
              <w:spacing w:before="0"/>
              <w:cnfStyle w:val="000000000000" w:firstRow="0" w:lastRow="0" w:firstColumn="0" w:lastColumn="0" w:oddVBand="0" w:evenVBand="0" w:oddHBand="0" w:evenHBand="0" w:firstRowFirstColumn="0" w:firstRowLastColumn="0" w:lastRowFirstColumn="0" w:lastRowLastColumn="0"/>
            </w:pPr>
            <w:r w:rsidRPr="007528C7">
              <w:t>Study Product Management Plan</w:t>
            </w:r>
          </w:p>
        </w:tc>
      </w:tr>
      <w:tr w:rsidR="00FF3B71" w:rsidRPr="00E87067" w14:paraId="63542E5E" w14:textId="77777777" w:rsidTr="007528C7">
        <w:trPr>
          <w:trHeight w:hRule="exact" w:val="360"/>
        </w:trPr>
        <w:tc>
          <w:tcPr>
            <w:cnfStyle w:val="001000000000" w:firstRow="0" w:lastRow="0" w:firstColumn="1" w:lastColumn="0" w:oddVBand="0" w:evenVBand="0" w:oddHBand="0" w:evenHBand="0" w:firstRowFirstColumn="0" w:firstRowLastColumn="0" w:lastRowFirstColumn="0" w:lastRowLastColumn="0"/>
            <w:tcW w:w="985" w:type="dxa"/>
            <w:tcMar>
              <w:top w:w="72" w:type="dxa"/>
              <w:left w:w="115" w:type="dxa"/>
              <w:bottom w:w="72" w:type="dxa"/>
              <w:right w:w="115" w:type="dxa"/>
            </w:tcMar>
            <w:vAlign w:val="center"/>
          </w:tcPr>
          <w:p w14:paraId="72F11C54" w14:textId="77777777" w:rsidR="00FF3B71" w:rsidRPr="007528C7" w:rsidRDefault="00FF3B71" w:rsidP="007528C7">
            <w:pPr>
              <w:spacing w:before="0"/>
            </w:pPr>
            <w:r w:rsidRPr="007528C7">
              <w:t>USP</w:t>
            </w:r>
          </w:p>
        </w:tc>
        <w:tc>
          <w:tcPr>
            <w:tcW w:w="6644" w:type="dxa"/>
            <w:tcMar>
              <w:top w:w="72" w:type="dxa"/>
              <w:left w:w="115" w:type="dxa"/>
              <w:bottom w:w="72" w:type="dxa"/>
              <w:right w:w="115" w:type="dxa"/>
            </w:tcMar>
            <w:vAlign w:val="center"/>
          </w:tcPr>
          <w:p w14:paraId="26D8B994" w14:textId="77777777"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pPr>
            <w:r w:rsidRPr="007528C7">
              <w:t>United States Pharmacopeia</w:t>
            </w:r>
          </w:p>
        </w:tc>
      </w:tr>
    </w:tbl>
    <w:p w14:paraId="2F83B08E" w14:textId="77777777" w:rsidR="00FF3B71" w:rsidRPr="00E87067" w:rsidRDefault="00FF3B71" w:rsidP="00E87067">
      <w:pPr>
        <w:sectPr w:rsidR="00FF3B71" w:rsidRPr="00E87067" w:rsidSect="00B64A62">
          <w:pgSz w:w="12240" w:h="15840" w:code="1"/>
          <w:pgMar w:top="1080" w:right="1180" w:bottom="1120" w:left="1140" w:header="576" w:footer="432" w:gutter="0"/>
          <w:cols w:space="720"/>
          <w:docGrid w:linePitch="299"/>
        </w:sectPr>
      </w:pPr>
    </w:p>
    <w:p w14:paraId="674DF8D9" w14:textId="58125350" w:rsidR="00314475" w:rsidRDefault="00314475" w:rsidP="007528C7">
      <w:pPr>
        <w:pStyle w:val="Heading2"/>
        <w:ind w:left="0" w:firstLine="0"/>
      </w:pPr>
      <w:bookmarkStart w:id="5" w:name="_Toc224716365"/>
      <w:bookmarkStart w:id="6" w:name="_Toc224716407"/>
      <w:r>
        <w:lastRenderedPageBreak/>
        <w:t xml:space="preserve">Table </w:t>
      </w:r>
      <w:r>
        <w:fldChar w:fldCharType="begin"/>
      </w:r>
      <w:r>
        <w:instrText>SEQ Table \* ARABIC</w:instrText>
      </w:r>
      <w:r>
        <w:fldChar w:fldCharType="separate"/>
      </w:r>
      <w:r w:rsidR="00843F45">
        <w:rPr>
          <w:noProof/>
        </w:rPr>
        <w:t>3</w:t>
      </w:r>
      <w:r>
        <w:fldChar w:fldCharType="end"/>
      </w:r>
      <w:r>
        <w:t xml:space="preserve"> Glossary of Terms</w:t>
      </w:r>
      <w:bookmarkEnd w:id="5"/>
      <w:bookmarkEnd w:id="6"/>
    </w:p>
    <w:tbl>
      <w:tblPr>
        <w:tblStyle w:val="DMIDTableLeftColumnShaded"/>
        <w:tblW w:w="0" w:type="auto"/>
        <w:tblLook w:val="04A0" w:firstRow="1" w:lastRow="0" w:firstColumn="1" w:lastColumn="0" w:noHBand="0" w:noVBand="1"/>
      </w:tblPr>
      <w:tblGrid>
        <w:gridCol w:w="2785"/>
        <w:gridCol w:w="7125"/>
      </w:tblGrid>
      <w:tr w:rsidR="00FF3B71" w:rsidRPr="00E87067" w14:paraId="7F4E3C46" w14:textId="77777777" w:rsidTr="007528C7">
        <w:tc>
          <w:tcPr>
            <w:cnfStyle w:val="001000000000" w:firstRow="0" w:lastRow="0" w:firstColumn="1" w:lastColumn="0" w:oddVBand="0" w:evenVBand="0" w:oddHBand="0" w:evenHBand="0" w:firstRowFirstColumn="0" w:firstRowLastColumn="0" w:lastRowFirstColumn="0" w:lastRowLastColumn="0"/>
            <w:tcW w:w="2785" w:type="dxa"/>
            <w:tcMar>
              <w:top w:w="86" w:type="dxa"/>
              <w:left w:w="115" w:type="dxa"/>
              <w:bottom w:w="86" w:type="dxa"/>
              <w:right w:w="115" w:type="dxa"/>
            </w:tcMar>
            <w:vAlign w:val="center"/>
          </w:tcPr>
          <w:p w14:paraId="5B48FC1A" w14:textId="77777777" w:rsidR="00FF3B71" w:rsidRPr="007528C7" w:rsidRDefault="00FF3B71" w:rsidP="007528C7">
            <w:pPr>
              <w:spacing w:before="0"/>
              <w:rPr>
                <w:rFonts w:cs="Times New Roman"/>
              </w:rPr>
            </w:pPr>
            <w:r w:rsidRPr="007528C7">
              <w:rPr>
                <w:rFonts w:cs="Times New Roman"/>
              </w:rPr>
              <w:t>Alternate Pharmacist:</w:t>
            </w:r>
          </w:p>
        </w:tc>
        <w:tc>
          <w:tcPr>
            <w:tcW w:w="7125" w:type="dxa"/>
            <w:tcMar>
              <w:top w:w="86" w:type="dxa"/>
              <w:left w:w="115" w:type="dxa"/>
              <w:bottom w:w="86" w:type="dxa"/>
              <w:right w:w="115" w:type="dxa"/>
            </w:tcMar>
            <w:vAlign w:val="center"/>
          </w:tcPr>
          <w:p w14:paraId="19FC4E22" w14:textId="3213B6EB"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7528C7">
              <w:rPr>
                <w:rFonts w:cs="Times New Roman"/>
              </w:rPr>
              <w:t xml:space="preserve">A licensed/registered pharmacist </w:t>
            </w:r>
            <w:r w:rsidR="4585C769" w:rsidRPr="007528C7">
              <w:rPr>
                <w:rFonts w:cs="Times New Roman"/>
              </w:rPr>
              <w:t>who</w:t>
            </w:r>
            <w:r w:rsidRPr="007528C7">
              <w:rPr>
                <w:rFonts w:cs="Times New Roman"/>
              </w:rPr>
              <w:t xml:space="preserve"> perform</w:t>
            </w:r>
            <w:r w:rsidR="11ADA169" w:rsidRPr="007528C7">
              <w:rPr>
                <w:rFonts w:cs="Times New Roman"/>
              </w:rPr>
              <w:t>s</w:t>
            </w:r>
            <w:r w:rsidRPr="007528C7">
              <w:rPr>
                <w:rFonts w:cs="Times New Roman"/>
              </w:rPr>
              <w:t xml:space="preserve"> the </w:t>
            </w:r>
            <w:r w:rsidR="02351ABB" w:rsidRPr="007528C7">
              <w:rPr>
                <w:rFonts w:cs="Times New Roman"/>
              </w:rPr>
              <w:t xml:space="preserve">day-to-day pharmacy activities </w:t>
            </w:r>
            <w:r w:rsidR="7EF42E5F" w:rsidRPr="007528C7">
              <w:rPr>
                <w:rFonts w:cs="Times New Roman"/>
              </w:rPr>
              <w:t xml:space="preserve">and </w:t>
            </w:r>
            <w:r w:rsidR="009B3AA1" w:rsidRPr="007528C7">
              <w:rPr>
                <w:rFonts w:cs="Times New Roman"/>
              </w:rPr>
              <w:t>investigational</w:t>
            </w:r>
            <w:r w:rsidR="7EF42E5F" w:rsidRPr="007528C7">
              <w:rPr>
                <w:rFonts w:cs="Times New Roman"/>
              </w:rPr>
              <w:t xml:space="preserve"> product management </w:t>
            </w:r>
            <w:r w:rsidR="30933FFD" w:rsidRPr="007528C7">
              <w:rPr>
                <w:rFonts w:cs="Times New Roman"/>
              </w:rPr>
              <w:t xml:space="preserve">for the </w:t>
            </w:r>
            <w:r w:rsidRPr="007528C7">
              <w:rPr>
                <w:rFonts w:cs="Times New Roman"/>
              </w:rPr>
              <w:t>DMID-sponsored clinical trial</w:t>
            </w:r>
            <w:r w:rsidR="494FDE95" w:rsidRPr="007528C7">
              <w:rPr>
                <w:rFonts w:cs="Times New Roman"/>
              </w:rPr>
              <w:t>(s) when the Research Pharmacist is absent</w:t>
            </w:r>
            <w:r w:rsidRPr="007528C7">
              <w:rPr>
                <w:rFonts w:cs="Times New Roman"/>
              </w:rPr>
              <w:t xml:space="preserve">. </w:t>
            </w:r>
          </w:p>
        </w:tc>
      </w:tr>
      <w:tr w:rsidR="00FF3B71" w:rsidRPr="00E87067" w14:paraId="3B1AFC43" w14:textId="77777777" w:rsidTr="007528C7">
        <w:tc>
          <w:tcPr>
            <w:cnfStyle w:val="001000000000" w:firstRow="0" w:lastRow="0" w:firstColumn="1" w:lastColumn="0" w:oddVBand="0" w:evenVBand="0" w:oddHBand="0" w:evenHBand="0" w:firstRowFirstColumn="0" w:firstRowLastColumn="0" w:lastRowFirstColumn="0" w:lastRowLastColumn="0"/>
            <w:tcW w:w="2785" w:type="dxa"/>
            <w:tcMar>
              <w:top w:w="86" w:type="dxa"/>
              <w:left w:w="115" w:type="dxa"/>
              <w:bottom w:w="86" w:type="dxa"/>
              <w:right w:w="115" w:type="dxa"/>
            </w:tcMar>
            <w:vAlign w:val="center"/>
          </w:tcPr>
          <w:p w14:paraId="776B4608" w14:textId="77777777" w:rsidR="00FF3B71" w:rsidRPr="007528C7" w:rsidRDefault="00FF3B71" w:rsidP="007528C7">
            <w:pPr>
              <w:spacing w:before="0"/>
              <w:rPr>
                <w:rFonts w:cs="Times New Roman"/>
              </w:rPr>
            </w:pPr>
            <w:r w:rsidRPr="007528C7">
              <w:rPr>
                <w:rFonts w:cs="Times New Roman"/>
              </w:rPr>
              <w:t>Authorized Prescriber:</w:t>
            </w:r>
          </w:p>
        </w:tc>
        <w:tc>
          <w:tcPr>
            <w:tcW w:w="7125" w:type="dxa"/>
            <w:tcMar>
              <w:top w:w="86" w:type="dxa"/>
              <w:left w:w="115" w:type="dxa"/>
              <w:bottom w:w="86" w:type="dxa"/>
              <w:right w:w="115" w:type="dxa"/>
            </w:tcMar>
            <w:vAlign w:val="center"/>
          </w:tcPr>
          <w:p w14:paraId="696AA3CE" w14:textId="1B9B1A4D" w:rsidR="00FF3B71" w:rsidRPr="007528C7" w:rsidRDefault="7AA60D33" w:rsidP="007528C7">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7528C7">
              <w:rPr>
                <w:rFonts w:cs="Times New Roman"/>
              </w:rPr>
              <w:t xml:space="preserve">Responsible for ensuring that a prescription is written in accordance with all essential aspects and requirements of the protocol and local </w:t>
            </w:r>
            <w:r w:rsidR="404A3E88" w:rsidRPr="007528C7">
              <w:rPr>
                <w:rFonts w:cs="Times New Roman"/>
              </w:rPr>
              <w:t>laws</w:t>
            </w:r>
            <w:r w:rsidRPr="007528C7">
              <w:rPr>
                <w:rFonts w:cs="Times New Roman"/>
              </w:rPr>
              <w:t xml:space="preserve"> and </w:t>
            </w:r>
            <w:r w:rsidR="6463FEA9" w:rsidRPr="007528C7">
              <w:rPr>
                <w:rFonts w:cs="Times New Roman"/>
              </w:rPr>
              <w:t>regulations</w:t>
            </w:r>
            <w:r w:rsidRPr="007528C7">
              <w:rPr>
                <w:rFonts w:cs="Times New Roman"/>
              </w:rPr>
              <w:t xml:space="preserve">. </w:t>
            </w:r>
            <w:r w:rsidR="788BA377" w:rsidRPr="007528C7">
              <w:rPr>
                <w:rFonts w:cs="Times New Roman"/>
              </w:rPr>
              <w:t>The</w:t>
            </w:r>
            <w:r w:rsidR="2CF61191" w:rsidRPr="007528C7">
              <w:rPr>
                <w:rFonts w:cs="Times New Roman"/>
              </w:rPr>
              <w:t xml:space="preserve"> authorized prescribe</w:t>
            </w:r>
            <w:r w:rsidR="379D120C" w:rsidRPr="007528C7">
              <w:rPr>
                <w:rFonts w:cs="Times New Roman"/>
              </w:rPr>
              <w:t>r</w:t>
            </w:r>
            <w:r w:rsidR="2CF61191" w:rsidRPr="007528C7">
              <w:rPr>
                <w:rFonts w:cs="Times New Roman"/>
              </w:rPr>
              <w:t xml:space="preserve"> is listed on the current FDA Form 1572 (IND studies) or authorized prescribers list (non-IND studies) for a given protocol at the participating site.</w:t>
            </w:r>
          </w:p>
        </w:tc>
      </w:tr>
      <w:tr w:rsidR="00FF3B71" w:rsidRPr="00E87067" w14:paraId="5A9EB40B" w14:textId="77777777" w:rsidTr="007528C7">
        <w:tc>
          <w:tcPr>
            <w:cnfStyle w:val="001000000000" w:firstRow="0" w:lastRow="0" w:firstColumn="1" w:lastColumn="0" w:oddVBand="0" w:evenVBand="0" w:oddHBand="0" w:evenHBand="0" w:firstRowFirstColumn="0" w:firstRowLastColumn="0" w:lastRowFirstColumn="0" w:lastRowLastColumn="0"/>
            <w:tcW w:w="2785" w:type="dxa"/>
            <w:tcMar>
              <w:top w:w="86" w:type="dxa"/>
              <w:left w:w="115" w:type="dxa"/>
              <w:bottom w:w="86" w:type="dxa"/>
              <w:right w:w="115" w:type="dxa"/>
            </w:tcMar>
            <w:vAlign w:val="center"/>
          </w:tcPr>
          <w:p w14:paraId="154C7BCC" w14:textId="77777777" w:rsidR="00FF3B71" w:rsidRPr="007528C7" w:rsidRDefault="00FF3B71" w:rsidP="007528C7">
            <w:pPr>
              <w:spacing w:before="0"/>
              <w:rPr>
                <w:rFonts w:cs="Times New Roman"/>
              </w:rPr>
            </w:pPr>
            <w:r w:rsidRPr="007528C7">
              <w:rPr>
                <w:rFonts w:cs="Times New Roman"/>
              </w:rPr>
              <w:t>Blinding:</w:t>
            </w:r>
          </w:p>
        </w:tc>
        <w:tc>
          <w:tcPr>
            <w:tcW w:w="7125" w:type="dxa"/>
            <w:tcMar>
              <w:top w:w="86" w:type="dxa"/>
              <w:left w:w="115" w:type="dxa"/>
              <w:bottom w:w="86" w:type="dxa"/>
              <w:right w:w="115" w:type="dxa"/>
            </w:tcMar>
            <w:vAlign w:val="center"/>
          </w:tcPr>
          <w:p w14:paraId="3235F257" w14:textId="77777777"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7528C7">
              <w:rPr>
                <w:rFonts w:cs="Times New Roman"/>
              </w:rPr>
              <w:t>A procedure in which one or more parties to the trial are kept unaware of the treatment assignment(s).</w:t>
            </w:r>
          </w:p>
        </w:tc>
      </w:tr>
      <w:tr w:rsidR="00FF3B71" w:rsidRPr="00E87067" w14:paraId="7AB01A16" w14:textId="77777777" w:rsidTr="007528C7">
        <w:tc>
          <w:tcPr>
            <w:cnfStyle w:val="001000000000" w:firstRow="0" w:lastRow="0" w:firstColumn="1" w:lastColumn="0" w:oddVBand="0" w:evenVBand="0" w:oddHBand="0" w:evenHBand="0" w:firstRowFirstColumn="0" w:firstRowLastColumn="0" w:lastRowFirstColumn="0" w:lastRowLastColumn="0"/>
            <w:tcW w:w="2785" w:type="dxa"/>
            <w:tcMar>
              <w:top w:w="86" w:type="dxa"/>
              <w:left w:w="115" w:type="dxa"/>
              <w:bottom w:w="86" w:type="dxa"/>
              <w:right w:w="115" w:type="dxa"/>
            </w:tcMar>
            <w:vAlign w:val="center"/>
          </w:tcPr>
          <w:p w14:paraId="156DEBEE" w14:textId="77777777" w:rsidR="00FF3B71" w:rsidRPr="007528C7" w:rsidRDefault="00FF3B71" w:rsidP="007528C7">
            <w:pPr>
              <w:spacing w:before="0"/>
              <w:rPr>
                <w:rFonts w:cs="Times New Roman"/>
              </w:rPr>
            </w:pPr>
            <w:r w:rsidRPr="007528C7">
              <w:rPr>
                <w:rFonts w:cs="Times New Roman"/>
              </w:rPr>
              <w:t>Chain of Custody:</w:t>
            </w:r>
          </w:p>
        </w:tc>
        <w:tc>
          <w:tcPr>
            <w:tcW w:w="7125" w:type="dxa"/>
            <w:tcMar>
              <w:top w:w="86" w:type="dxa"/>
              <w:left w:w="115" w:type="dxa"/>
              <w:bottom w:w="86" w:type="dxa"/>
              <w:right w:w="115" w:type="dxa"/>
            </w:tcMar>
            <w:vAlign w:val="center"/>
          </w:tcPr>
          <w:p w14:paraId="3500CC73" w14:textId="0E71ECA0" w:rsidR="00FF3B71" w:rsidRPr="007528C7" w:rsidRDefault="527E2AD2" w:rsidP="007528C7">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7528C7">
              <w:rPr>
                <w:rFonts w:cs="Times New Roman"/>
              </w:rPr>
              <w:t>A</w:t>
            </w:r>
            <w:r w:rsidR="2CF61191" w:rsidRPr="007528C7">
              <w:rPr>
                <w:rFonts w:cs="Times New Roman"/>
              </w:rPr>
              <w:t xml:space="preserve"> chronological documentation of an unbroken trail of accountability of authorized </w:t>
            </w:r>
            <w:r w:rsidR="00153A6F" w:rsidRPr="007528C7">
              <w:rPr>
                <w:rFonts w:cs="Times New Roman"/>
              </w:rPr>
              <w:t>study</w:t>
            </w:r>
            <w:r w:rsidR="2CF61191" w:rsidRPr="007528C7">
              <w:rPr>
                <w:rFonts w:cs="Times New Roman"/>
              </w:rPr>
              <w:t xml:space="preserve"> personnel </w:t>
            </w:r>
            <w:r w:rsidR="69B618EA" w:rsidRPr="007528C7">
              <w:rPr>
                <w:rFonts w:cs="Times New Roman"/>
              </w:rPr>
              <w:t>accepting and relinquishing possession of the investigational product.</w:t>
            </w:r>
          </w:p>
        </w:tc>
      </w:tr>
      <w:tr w:rsidR="00FF3B71" w:rsidRPr="00E87067" w14:paraId="24014405" w14:textId="77777777" w:rsidTr="007528C7">
        <w:tc>
          <w:tcPr>
            <w:cnfStyle w:val="001000000000" w:firstRow="0" w:lastRow="0" w:firstColumn="1" w:lastColumn="0" w:oddVBand="0" w:evenVBand="0" w:oddHBand="0" w:evenHBand="0" w:firstRowFirstColumn="0" w:firstRowLastColumn="0" w:lastRowFirstColumn="0" w:lastRowLastColumn="0"/>
            <w:tcW w:w="2785" w:type="dxa"/>
            <w:tcMar>
              <w:top w:w="86" w:type="dxa"/>
              <w:left w:w="115" w:type="dxa"/>
              <w:bottom w:w="86" w:type="dxa"/>
              <w:right w:w="115" w:type="dxa"/>
            </w:tcMar>
            <w:vAlign w:val="center"/>
          </w:tcPr>
          <w:p w14:paraId="50E5B4AE" w14:textId="77777777" w:rsidR="00FF3B71" w:rsidRPr="007528C7" w:rsidRDefault="00FF3B71" w:rsidP="007528C7">
            <w:pPr>
              <w:spacing w:before="0"/>
              <w:rPr>
                <w:rFonts w:cs="Times New Roman"/>
              </w:rPr>
            </w:pPr>
            <w:r w:rsidRPr="007528C7">
              <w:rPr>
                <w:rFonts w:cs="Times New Roman"/>
              </w:rPr>
              <w:t>Clinical Research Site:</w:t>
            </w:r>
          </w:p>
        </w:tc>
        <w:tc>
          <w:tcPr>
            <w:tcW w:w="7125" w:type="dxa"/>
            <w:tcMar>
              <w:top w:w="86" w:type="dxa"/>
              <w:left w:w="115" w:type="dxa"/>
              <w:bottom w:w="86" w:type="dxa"/>
              <w:right w:w="115" w:type="dxa"/>
            </w:tcMar>
            <w:vAlign w:val="center"/>
          </w:tcPr>
          <w:p w14:paraId="17514643" w14:textId="77777777"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7528C7">
              <w:rPr>
                <w:rFonts w:cs="Times New Roman"/>
              </w:rPr>
              <w:t>Discrete locations (e.g., hospitals, outpatient clinics, health maintenance organizations, community health centers, private practices, clinics) where qualified professionals conduct clinical trial research on human subjects in accordance with International Conference of Harmonization (ICH)/ Good Clinical Practice (GCP).</w:t>
            </w:r>
          </w:p>
        </w:tc>
      </w:tr>
      <w:tr w:rsidR="00FF3B71" w:rsidRPr="00E87067" w14:paraId="06FA902E" w14:textId="77777777" w:rsidTr="007528C7">
        <w:tc>
          <w:tcPr>
            <w:cnfStyle w:val="001000000000" w:firstRow="0" w:lastRow="0" w:firstColumn="1" w:lastColumn="0" w:oddVBand="0" w:evenVBand="0" w:oddHBand="0" w:evenHBand="0" w:firstRowFirstColumn="0" w:firstRowLastColumn="0" w:lastRowFirstColumn="0" w:lastRowLastColumn="0"/>
            <w:tcW w:w="2785" w:type="dxa"/>
            <w:tcMar>
              <w:top w:w="86" w:type="dxa"/>
              <w:left w:w="115" w:type="dxa"/>
              <w:bottom w:w="86" w:type="dxa"/>
              <w:right w:w="115" w:type="dxa"/>
            </w:tcMar>
            <w:vAlign w:val="center"/>
          </w:tcPr>
          <w:p w14:paraId="5F9B38D3" w14:textId="77777777" w:rsidR="00FF3B71" w:rsidRPr="007528C7" w:rsidRDefault="00FF3B71" w:rsidP="007528C7">
            <w:pPr>
              <w:spacing w:before="0"/>
              <w:rPr>
                <w:rFonts w:cs="Times New Roman"/>
              </w:rPr>
            </w:pPr>
            <w:r w:rsidRPr="007528C7">
              <w:rPr>
                <w:rFonts w:cs="Times New Roman"/>
              </w:rPr>
              <w:t>Clinical Research Site Monitoring:</w:t>
            </w:r>
          </w:p>
        </w:tc>
        <w:tc>
          <w:tcPr>
            <w:tcW w:w="7125" w:type="dxa"/>
            <w:tcMar>
              <w:top w:w="86" w:type="dxa"/>
              <w:left w:w="115" w:type="dxa"/>
              <w:bottom w:w="86" w:type="dxa"/>
              <w:right w:w="115" w:type="dxa"/>
            </w:tcMar>
            <w:vAlign w:val="center"/>
          </w:tcPr>
          <w:p w14:paraId="60DFDBA7" w14:textId="77777777"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7528C7">
              <w:rPr>
                <w:rFonts w:cs="Times New Roman"/>
              </w:rPr>
              <w:t>The act of overseeing the progress of a clinical trial and ensuring that it is conducted, recorded, and reported in accordance with the protocol, standard operating procedures (SOPs), GCP, and the applicable regulatory requirements.</w:t>
            </w:r>
          </w:p>
        </w:tc>
      </w:tr>
      <w:tr w:rsidR="00FF3B71" w:rsidRPr="00E87067" w14:paraId="3E4D918C" w14:textId="77777777" w:rsidTr="007528C7">
        <w:tc>
          <w:tcPr>
            <w:cnfStyle w:val="001000000000" w:firstRow="0" w:lastRow="0" w:firstColumn="1" w:lastColumn="0" w:oddVBand="0" w:evenVBand="0" w:oddHBand="0" w:evenHBand="0" w:firstRowFirstColumn="0" w:firstRowLastColumn="0" w:lastRowFirstColumn="0" w:lastRowLastColumn="0"/>
            <w:tcW w:w="2785" w:type="dxa"/>
            <w:tcMar>
              <w:top w:w="86" w:type="dxa"/>
              <w:left w:w="115" w:type="dxa"/>
              <w:bottom w:w="86" w:type="dxa"/>
              <w:right w:w="115" w:type="dxa"/>
            </w:tcMar>
            <w:vAlign w:val="center"/>
          </w:tcPr>
          <w:p w14:paraId="5579E783" w14:textId="77777777" w:rsidR="00FF3B71" w:rsidRPr="007528C7" w:rsidRDefault="00FF3B71" w:rsidP="007528C7">
            <w:pPr>
              <w:spacing w:before="0"/>
              <w:rPr>
                <w:rFonts w:cs="Times New Roman"/>
              </w:rPr>
            </w:pPr>
            <w:r w:rsidRPr="007528C7">
              <w:rPr>
                <w:rFonts w:cs="Times New Roman"/>
              </w:rPr>
              <w:t>Clinical Trial:</w:t>
            </w:r>
          </w:p>
        </w:tc>
        <w:tc>
          <w:tcPr>
            <w:tcW w:w="7125" w:type="dxa"/>
            <w:tcMar>
              <w:top w:w="86" w:type="dxa"/>
              <w:left w:w="115" w:type="dxa"/>
              <w:bottom w:w="86" w:type="dxa"/>
              <w:right w:w="115" w:type="dxa"/>
            </w:tcMar>
            <w:vAlign w:val="center"/>
          </w:tcPr>
          <w:p w14:paraId="40B36C46" w14:textId="1FE694A0"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7528C7">
              <w:rPr>
                <w:rFonts w:cs="Times New Roman"/>
              </w:rPr>
              <w:t>A research study in which one or more human subjects are prospectively assigned to one or more interventions (which may include placebo or other control) to evaluate the effects of those interventions on health-related biomedical or behavioral outcomes.</w:t>
            </w:r>
          </w:p>
        </w:tc>
      </w:tr>
      <w:tr w:rsidR="00FF3B71" w:rsidRPr="00E87067" w14:paraId="7AC2CF48" w14:textId="77777777" w:rsidTr="007528C7">
        <w:tc>
          <w:tcPr>
            <w:cnfStyle w:val="001000000000" w:firstRow="0" w:lastRow="0" w:firstColumn="1" w:lastColumn="0" w:oddVBand="0" w:evenVBand="0" w:oddHBand="0" w:evenHBand="0" w:firstRowFirstColumn="0" w:firstRowLastColumn="0" w:lastRowFirstColumn="0" w:lastRowLastColumn="0"/>
            <w:tcW w:w="2785" w:type="dxa"/>
            <w:tcMar>
              <w:top w:w="86" w:type="dxa"/>
              <w:left w:w="115" w:type="dxa"/>
              <w:bottom w:w="86" w:type="dxa"/>
              <w:right w:w="115" w:type="dxa"/>
            </w:tcMar>
            <w:vAlign w:val="center"/>
          </w:tcPr>
          <w:p w14:paraId="40D572B7" w14:textId="77777777" w:rsidR="00FF3B71" w:rsidRPr="007528C7" w:rsidRDefault="00FF3B71" w:rsidP="007528C7">
            <w:pPr>
              <w:spacing w:before="0"/>
              <w:rPr>
                <w:rFonts w:cs="Times New Roman"/>
              </w:rPr>
            </w:pPr>
            <w:r w:rsidRPr="007528C7">
              <w:rPr>
                <w:rFonts w:cs="Times New Roman"/>
              </w:rPr>
              <w:t>Cold Chain:</w:t>
            </w:r>
          </w:p>
        </w:tc>
        <w:tc>
          <w:tcPr>
            <w:tcW w:w="7125" w:type="dxa"/>
            <w:tcMar>
              <w:top w:w="86" w:type="dxa"/>
              <w:left w:w="115" w:type="dxa"/>
              <w:bottom w:w="86" w:type="dxa"/>
              <w:right w:w="115" w:type="dxa"/>
            </w:tcMar>
            <w:vAlign w:val="center"/>
          </w:tcPr>
          <w:p w14:paraId="579E9B90" w14:textId="1066E8B3"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7528C7">
              <w:rPr>
                <w:rFonts w:cs="Times New Roman"/>
              </w:rPr>
              <w:t xml:space="preserve">Cold chain refers to maintaining the required refrigerated or frozen conditions at or between a defined temperature range for </w:t>
            </w:r>
            <w:r w:rsidR="009B3AA1" w:rsidRPr="007528C7">
              <w:rPr>
                <w:rFonts w:cs="Times New Roman"/>
              </w:rPr>
              <w:t>investigational</w:t>
            </w:r>
            <w:r w:rsidRPr="007528C7">
              <w:rPr>
                <w:rFonts w:cs="Times New Roman"/>
              </w:rPr>
              <w:t xml:space="preserve"> products according to the manufacturer’s specifications.</w:t>
            </w:r>
          </w:p>
        </w:tc>
      </w:tr>
      <w:tr w:rsidR="00FF3B71" w:rsidRPr="00E87067" w14:paraId="390A366F" w14:textId="77777777" w:rsidTr="007528C7">
        <w:tc>
          <w:tcPr>
            <w:cnfStyle w:val="001000000000" w:firstRow="0" w:lastRow="0" w:firstColumn="1" w:lastColumn="0" w:oddVBand="0" w:evenVBand="0" w:oddHBand="0" w:evenHBand="0" w:firstRowFirstColumn="0" w:firstRowLastColumn="0" w:lastRowFirstColumn="0" w:lastRowLastColumn="0"/>
            <w:tcW w:w="2785" w:type="dxa"/>
            <w:tcMar>
              <w:top w:w="86" w:type="dxa"/>
              <w:left w:w="115" w:type="dxa"/>
              <w:bottom w:w="86" w:type="dxa"/>
              <w:right w:w="115" w:type="dxa"/>
            </w:tcMar>
            <w:vAlign w:val="center"/>
          </w:tcPr>
          <w:p w14:paraId="1E96F38C" w14:textId="77777777" w:rsidR="00FF3B71" w:rsidRPr="007528C7" w:rsidRDefault="00FF3B71" w:rsidP="007528C7">
            <w:pPr>
              <w:spacing w:before="0"/>
              <w:rPr>
                <w:rFonts w:cs="Times New Roman"/>
              </w:rPr>
            </w:pPr>
            <w:r w:rsidRPr="007528C7">
              <w:rPr>
                <w:rFonts w:cs="Times New Roman"/>
              </w:rPr>
              <w:t>Form FDA 1572:</w:t>
            </w:r>
          </w:p>
        </w:tc>
        <w:tc>
          <w:tcPr>
            <w:tcW w:w="7125" w:type="dxa"/>
            <w:tcMar>
              <w:top w:w="86" w:type="dxa"/>
              <w:left w:w="115" w:type="dxa"/>
              <w:bottom w:w="86" w:type="dxa"/>
              <w:right w:w="115" w:type="dxa"/>
            </w:tcMar>
            <w:vAlign w:val="center"/>
          </w:tcPr>
          <w:p w14:paraId="2009F50A" w14:textId="77777777"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7528C7">
              <w:rPr>
                <w:rFonts w:cs="Times New Roman"/>
              </w:rPr>
              <w:t>A U.S. Food and Drug Administration (FDA) form serving as a statement by the investigator that he/she will abide by the Code of Federal Regulations (CFR) for the use of drugs under an Investigational New Drug Application (IND).</w:t>
            </w:r>
          </w:p>
        </w:tc>
      </w:tr>
      <w:tr w:rsidR="00FF3B71" w:rsidRPr="00E87067" w14:paraId="1567D670" w14:textId="77777777" w:rsidTr="007528C7">
        <w:tc>
          <w:tcPr>
            <w:cnfStyle w:val="001000000000" w:firstRow="0" w:lastRow="0" w:firstColumn="1" w:lastColumn="0" w:oddVBand="0" w:evenVBand="0" w:oddHBand="0" w:evenHBand="0" w:firstRowFirstColumn="0" w:firstRowLastColumn="0" w:lastRowFirstColumn="0" w:lastRowLastColumn="0"/>
            <w:tcW w:w="2785" w:type="dxa"/>
            <w:tcMar>
              <w:top w:w="86" w:type="dxa"/>
              <w:left w:w="115" w:type="dxa"/>
              <w:bottom w:w="86" w:type="dxa"/>
              <w:right w:w="115" w:type="dxa"/>
            </w:tcMar>
            <w:vAlign w:val="center"/>
          </w:tcPr>
          <w:p w14:paraId="57D703D5" w14:textId="77777777" w:rsidR="00FF3B71" w:rsidRPr="007528C7" w:rsidRDefault="00FF3B71" w:rsidP="007528C7">
            <w:pPr>
              <w:spacing w:before="0"/>
              <w:rPr>
                <w:rFonts w:cs="Times New Roman"/>
              </w:rPr>
            </w:pPr>
            <w:r w:rsidRPr="007528C7">
              <w:rPr>
                <w:rFonts w:cs="Times New Roman"/>
              </w:rPr>
              <w:t>Institutional Review Board/Independent Ethics Committee (IRB/IEC):</w:t>
            </w:r>
          </w:p>
        </w:tc>
        <w:tc>
          <w:tcPr>
            <w:tcW w:w="7125" w:type="dxa"/>
            <w:tcMar>
              <w:top w:w="86" w:type="dxa"/>
              <w:left w:w="115" w:type="dxa"/>
              <w:bottom w:w="86" w:type="dxa"/>
              <w:right w:w="115" w:type="dxa"/>
            </w:tcMar>
            <w:vAlign w:val="center"/>
          </w:tcPr>
          <w:p w14:paraId="6EBAF577" w14:textId="7323773B"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7528C7">
              <w:rPr>
                <w:rFonts w:cs="Times New Roman"/>
              </w:rPr>
              <w:t>An independent body cons</w:t>
            </w:r>
            <w:r w:rsidR="00503AE6" w:rsidRPr="007528C7">
              <w:rPr>
                <w:rFonts w:cs="Times New Roman"/>
              </w:rPr>
              <w:t>isting</w:t>
            </w:r>
            <w:r w:rsidRPr="007528C7">
              <w:rPr>
                <w:rFonts w:cs="Times New Roman"/>
              </w:rPr>
              <w:t xml:space="preserve"> of medical, scientific, and nonscientific members whose responsibility is to ensure the protection of the rights, safety, and well-being of human subjects recruited to participate in a clinical trial. Assurance is provided by reviewing, approving, and providing continuing review of protocols, consents, amendments, safety </w:t>
            </w:r>
            <w:r w:rsidRPr="007528C7">
              <w:rPr>
                <w:rFonts w:cs="Times New Roman"/>
              </w:rPr>
              <w:lastRenderedPageBreak/>
              <w:t>reports, and methods and materials to be used in obtaining and documenting informed consent of the study subjects.</w:t>
            </w:r>
          </w:p>
        </w:tc>
      </w:tr>
      <w:tr w:rsidR="006C2E8E" w:rsidRPr="00E87067" w14:paraId="2E824BD6" w14:textId="77777777" w:rsidTr="007528C7">
        <w:tc>
          <w:tcPr>
            <w:cnfStyle w:val="001000000000" w:firstRow="0" w:lastRow="0" w:firstColumn="1" w:lastColumn="0" w:oddVBand="0" w:evenVBand="0" w:oddHBand="0" w:evenHBand="0" w:firstRowFirstColumn="0" w:firstRowLastColumn="0" w:lastRowFirstColumn="0" w:lastRowLastColumn="0"/>
            <w:tcW w:w="2785" w:type="dxa"/>
            <w:tcMar>
              <w:top w:w="86" w:type="dxa"/>
              <w:left w:w="115" w:type="dxa"/>
              <w:bottom w:w="86" w:type="dxa"/>
              <w:right w:w="115" w:type="dxa"/>
            </w:tcMar>
            <w:vAlign w:val="center"/>
          </w:tcPr>
          <w:p w14:paraId="5FB44DCE" w14:textId="3F6C926F" w:rsidR="006C2E8E" w:rsidRPr="007528C7" w:rsidRDefault="006C2E8E" w:rsidP="007528C7">
            <w:pPr>
              <w:spacing w:before="0"/>
              <w:rPr>
                <w:rFonts w:cs="Times New Roman"/>
              </w:rPr>
            </w:pPr>
            <w:r w:rsidRPr="007528C7">
              <w:rPr>
                <w:rFonts w:cs="Times New Roman"/>
              </w:rPr>
              <w:lastRenderedPageBreak/>
              <w:t>Investigational Product:</w:t>
            </w:r>
          </w:p>
        </w:tc>
        <w:tc>
          <w:tcPr>
            <w:tcW w:w="7125" w:type="dxa"/>
            <w:tcMar>
              <w:top w:w="86" w:type="dxa"/>
              <w:left w:w="115" w:type="dxa"/>
              <w:bottom w:w="86" w:type="dxa"/>
              <w:right w:w="115" w:type="dxa"/>
            </w:tcMar>
            <w:vAlign w:val="center"/>
          </w:tcPr>
          <w:p w14:paraId="2319C409" w14:textId="06269C71" w:rsidR="006C2E8E" w:rsidRPr="007528C7" w:rsidRDefault="006C2E8E" w:rsidP="007528C7">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7528C7">
              <w:rPr>
                <w:rFonts w:cs="Times New Roman"/>
              </w:rPr>
              <w:t xml:space="preserve">Any drug, biologic, device, or combination product that is provided for the </w:t>
            </w:r>
            <w:r w:rsidR="00D21E0C" w:rsidRPr="007528C7">
              <w:rPr>
                <w:rFonts w:cs="Times New Roman"/>
              </w:rPr>
              <w:t>study</w:t>
            </w:r>
            <w:r w:rsidRPr="007528C7">
              <w:rPr>
                <w:rFonts w:cs="Times New Roman"/>
              </w:rPr>
              <w:t xml:space="preserve"> or identified in the protocol as a</w:t>
            </w:r>
            <w:r w:rsidR="0038117C" w:rsidRPr="007528C7">
              <w:rPr>
                <w:rFonts w:cs="Times New Roman"/>
              </w:rPr>
              <w:t>n</w:t>
            </w:r>
            <w:r w:rsidRPr="007528C7">
              <w:rPr>
                <w:rFonts w:cs="Times New Roman"/>
              </w:rPr>
              <w:t xml:space="preserve"> </w:t>
            </w:r>
            <w:r w:rsidR="009B3AA1" w:rsidRPr="007528C7">
              <w:rPr>
                <w:rFonts w:cs="Times New Roman"/>
              </w:rPr>
              <w:t>investigational</w:t>
            </w:r>
            <w:r w:rsidRPr="007528C7">
              <w:rPr>
                <w:rFonts w:cs="Times New Roman"/>
              </w:rPr>
              <w:t xml:space="preserve"> product, including any diluents or placebos provided for use during the </w:t>
            </w:r>
            <w:r w:rsidR="00B0223A" w:rsidRPr="007528C7">
              <w:rPr>
                <w:rFonts w:cs="Times New Roman"/>
              </w:rPr>
              <w:t>study</w:t>
            </w:r>
            <w:r w:rsidRPr="007528C7">
              <w:rPr>
                <w:rFonts w:cs="Times New Roman"/>
              </w:rPr>
              <w:t xml:space="preserve">. </w:t>
            </w:r>
            <w:r w:rsidR="00246C21">
              <w:rPr>
                <w:rFonts w:cs="Times New Roman"/>
              </w:rPr>
              <w:t>“I</w:t>
            </w:r>
            <w:r w:rsidR="00246C21" w:rsidRPr="00246C21">
              <w:rPr>
                <w:rFonts w:cs="Times New Roman"/>
              </w:rPr>
              <w:t>nvestigational</w:t>
            </w:r>
            <w:r w:rsidRPr="007528C7">
              <w:rPr>
                <w:rFonts w:cs="Times New Roman"/>
              </w:rPr>
              <w:t xml:space="preserve"> product’</w:t>
            </w:r>
            <w:r w:rsidR="00246C21">
              <w:rPr>
                <w:rFonts w:cs="Times New Roman"/>
              </w:rPr>
              <w:t xml:space="preserve"> and</w:t>
            </w:r>
            <w:r w:rsidRPr="007528C7">
              <w:rPr>
                <w:rFonts w:cs="Times New Roman"/>
              </w:rPr>
              <w:t xml:space="preserve"> </w:t>
            </w:r>
            <w:r w:rsidR="00246C21" w:rsidRPr="00246C21">
              <w:rPr>
                <w:rFonts w:cs="Times New Roman"/>
              </w:rPr>
              <w:t xml:space="preserve">‘Study product’ </w:t>
            </w:r>
            <w:r w:rsidRPr="007528C7">
              <w:rPr>
                <w:rFonts w:cs="Times New Roman"/>
              </w:rPr>
              <w:t xml:space="preserve">may be used interchangeably and are used in lieu of the following terms: Investigational drug (21 CFR Part 312); Investigational Device (21 CFR Part 812); Test article (21 CFR Part 50). Definition source: </w:t>
            </w:r>
            <w:r w:rsidR="00A058C2">
              <w:rPr>
                <w:rFonts w:cs="Times New Roman"/>
              </w:rPr>
              <w:t xml:space="preserve">The </w:t>
            </w:r>
            <w:r w:rsidRPr="007528C7">
              <w:rPr>
                <w:rFonts w:cs="Times New Roman"/>
              </w:rPr>
              <w:t>NIAID/DMID</w:t>
            </w:r>
          </w:p>
        </w:tc>
      </w:tr>
      <w:tr w:rsidR="00FF3B71" w:rsidRPr="00E87067" w14:paraId="407E8DA9" w14:textId="77777777" w:rsidTr="007528C7">
        <w:tc>
          <w:tcPr>
            <w:cnfStyle w:val="001000000000" w:firstRow="0" w:lastRow="0" w:firstColumn="1" w:lastColumn="0" w:oddVBand="0" w:evenVBand="0" w:oddHBand="0" w:evenHBand="0" w:firstRowFirstColumn="0" w:firstRowLastColumn="0" w:lastRowFirstColumn="0" w:lastRowLastColumn="0"/>
            <w:tcW w:w="2785" w:type="dxa"/>
            <w:tcMar>
              <w:top w:w="86" w:type="dxa"/>
              <w:left w:w="115" w:type="dxa"/>
              <w:bottom w:w="86" w:type="dxa"/>
              <w:right w:w="115" w:type="dxa"/>
            </w:tcMar>
            <w:vAlign w:val="center"/>
          </w:tcPr>
          <w:p w14:paraId="4B9A3212" w14:textId="77777777" w:rsidR="00FF3B71" w:rsidRPr="007528C7" w:rsidRDefault="00FF3B71" w:rsidP="007528C7">
            <w:pPr>
              <w:spacing w:before="0"/>
              <w:rPr>
                <w:rFonts w:cs="Times New Roman"/>
              </w:rPr>
            </w:pPr>
            <w:r w:rsidRPr="007528C7">
              <w:rPr>
                <w:rFonts w:cs="Times New Roman"/>
              </w:rPr>
              <w:t>Investigator Agreement:</w:t>
            </w:r>
          </w:p>
        </w:tc>
        <w:tc>
          <w:tcPr>
            <w:tcW w:w="7125" w:type="dxa"/>
            <w:tcMar>
              <w:top w:w="86" w:type="dxa"/>
              <w:left w:w="115" w:type="dxa"/>
              <w:bottom w:w="86" w:type="dxa"/>
              <w:right w:w="115" w:type="dxa"/>
            </w:tcMar>
            <w:vAlign w:val="center"/>
          </w:tcPr>
          <w:p w14:paraId="757FBCE5" w14:textId="77777777"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7528C7">
              <w:rPr>
                <w:rFonts w:cs="Times New Roman"/>
              </w:rPr>
              <w:t>An agreement for an Investigational Device Exemption (IDE), which is signed by all investigators stating they will comply with investigator obligations per 21 CFR 812.43(c)(4).</w:t>
            </w:r>
          </w:p>
        </w:tc>
      </w:tr>
      <w:tr w:rsidR="00FF3B71" w:rsidRPr="00E87067" w14:paraId="3388D5E2" w14:textId="77777777" w:rsidTr="007528C7">
        <w:tc>
          <w:tcPr>
            <w:cnfStyle w:val="001000000000" w:firstRow="0" w:lastRow="0" w:firstColumn="1" w:lastColumn="0" w:oddVBand="0" w:evenVBand="0" w:oddHBand="0" w:evenHBand="0" w:firstRowFirstColumn="0" w:firstRowLastColumn="0" w:lastRowFirstColumn="0" w:lastRowLastColumn="0"/>
            <w:tcW w:w="2785" w:type="dxa"/>
            <w:tcMar>
              <w:top w:w="86" w:type="dxa"/>
              <w:left w:w="115" w:type="dxa"/>
              <w:bottom w:w="86" w:type="dxa"/>
              <w:right w:w="115" w:type="dxa"/>
            </w:tcMar>
            <w:vAlign w:val="center"/>
          </w:tcPr>
          <w:p w14:paraId="520D5899" w14:textId="77777777" w:rsidR="00FF3B71" w:rsidRPr="007528C7" w:rsidRDefault="00FF3B71" w:rsidP="007528C7">
            <w:pPr>
              <w:spacing w:before="0"/>
              <w:rPr>
                <w:rFonts w:cs="Times New Roman"/>
              </w:rPr>
            </w:pPr>
            <w:r w:rsidRPr="007528C7">
              <w:rPr>
                <w:rFonts w:cs="Times New Roman"/>
              </w:rPr>
              <w:t>Investigator of Record (IOR) Form:</w:t>
            </w:r>
          </w:p>
        </w:tc>
        <w:tc>
          <w:tcPr>
            <w:tcW w:w="7125" w:type="dxa"/>
            <w:tcMar>
              <w:top w:w="86" w:type="dxa"/>
              <w:left w:w="115" w:type="dxa"/>
              <w:bottom w:w="86" w:type="dxa"/>
              <w:right w:w="115" w:type="dxa"/>
            </w:tcMar>
            <w:vAlign w:val="center"/>
          </w:tcPr>
          <w:p w14:paraId="650CB501" w14:textId="77777777"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7528C7">
              <w:rPr>
                <w:rFonts w:cs="Times New Roman"/>
              </w:rPr>
              <w:t>An agreement signed by the principal investigator that he/she will abide by the regulations set forth in 45CFR46 and the requirements of the protocol. The form also lists sub-investigators, laboratories, and reviewing IRBs/IECs. It is used for non-IND/IDE studies in lieu of an FDA 1572 form.</w:t>
            </w:r>
          </w:p>
        </w:tc>
      </w:tr>
      <w:tr w:rsidR="00FF3B71" w:rsidRPr="00E87067" w14:paraId="6AEC1994" w14:textId="77777777" w:rsidTr="007528C7">
        <w:tc>
          <w:tcPr>
            <w:cnfStyle w:val="001000000000" w:firstRow="0" w:lastRow="0" w:firstColumn="1" w:lastColumn="0" w:oddVBand="0" w:evenVBand="0" w:oddHBand="0" w:evenHBand="0" w:firstRowFirstColumn="0" w:firstRowLastColumn="0" w:lastRowFirstColumn="0" w:lastRowLastColumn="0"/>
            <w:tcW w:w="2785" w:type="dxa"/>
            <w:tcMar>
              <w:top w:w="86" w:type="dxa"/>
              <w:left w:w="115" w:type="dxa"/>
              <w:bottom w:w="86" w:type="dxa"/>
              <w:right w:w="115" w:type="dxa"/>
            </w:tcMar>
            <w:vAlign w:val="center"/>
          </w:tcPr>
          <w:p w14:paraId="238215DF" w14:textId="77777777" w:rsidR="00FF3B71" w:rsidRPr="007528C7" w:rsidRDefault="00FF3B71" w:rsidP="007528C7">
            <w:pPr>
              <w:spacing w:before="0"/>
              <w:rPr>
                <w:rFonts w:cs="Times New Roman"/>
              </w:rPr>
            </w:pPr>
            <w:r w:rsidRPr="007528C7">
              <w:rPr>
                <w:rFonts w:cs="Times New Roman"/>
              </w:rPr>
              <w:t>Investigator’s Brochure (IB):</w:t>
            </w:r>
          </w:p>
        </w:tc>
        <w:tc>
          <w:tcPr>
            <w:tcW w:w="7125" w:type="dxa"/>
            <w:tcMar>
              <w:top w:w="86" w:type="dxa"/>
              <w:left w:w="115" w:type="dxa"/>
              <w:bottom w:w="86" w:type="dxa"/>
              <w:right w:w="115" w:type="dxa"/>
            </w:tcMar>
            <w:vAlign w:val="center"/>
          </w:tcPr>
          <w:p w14:paraId="508DCC86" w14:textId="45DF71A5"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7528C7">
              <w:rPr>
                <w:rFonts w:cs="Times New Roman"/>
              </w:rPr>
              <w:t>A compilation of the clinical and non-clinical data on investigational product(s) that are relevant to the study of the product(s) in human subjects. Its purpose is to provide the investigators and others involved with the trial information to facilitate their understanding of the rationale for, and their compliance with, many key features of the protocol, such as dose, dose frequency/interval, methods of administration, safety monitoring procedures, and possible adverse events. For marketed products, the package insert (also known as the product label) can be used for the IB.</w:t>
            </w:r>
          </w:p>
        </w:tc>
      </w:tr>
      <w:tr w:rsidR="00FF3B71" w:rsidRPr="00E87067" w14:paraId="538E30E6" w14:textId="77777777" w:rsidTr="007528C7">
        <w:tc>
          <w:tcPr>
            <w:cnfStyle w:val="001000000000" w:firstRow="0" w:lastRow="0" w:firstColumn="1" w:lastColumn="0" w:oddVBand="0" w:evenVBand="0" w:oddHBand="0" w:evenHBand="0" w:firstRowFirstColumn="0" w:firstRowLastColumn="0" w:lastRowFirstColumn="0" w:lastRowLastColumn="0"/>
            <w:tcW w:w="2785" w:type="dxa"/>
            <w:tcMar>
              <w:top w:w="86" w:type="dxa"/>
              <w:left w:w="115" w:type="dxa"/>
              <w:bottom w:w="86" w:type="dxa"/>
              <w:right w:w="115" w:type="dxa"/>
            </w:tcMar>
            <w:vAlign w:val="center"/>
          </w:tcPr>
          <w:p w14:paraId="7E9E27FE" w14:textId="77777777" w:rsidR="00FF3B71" w:rsidRPr="007528C7" w:rsidRDefault="00FF3B71" w:rsidP="007528C7">
            <w:pPr>
              <w:spacing w:before="0"/>
              <w:rPr>
                <w:rFonts w:cs="Times New Roman"/>
              </w:rPr>
            </w:pPr>
            <w:r w:rsidRPr="007528C7">
              <w:rPr>
                <w:rFonts w:cs="Times New Roman"/>
              </w:rPr>
              <w:t>Principal Investigator:</w:t>
            </w:r>
          </w:p>
        </w:tc>
        <w:tc>
          <w:tcPr>
            <w:tcW w:w="7125" w:type="dxa"/>
            <w:tcMar>
              <w:top w:w="86" w:type="dxa"/>
              <w:left w:w="115" w:type="dxa"/>
              <w:bottom w:w="86" w:type="dxa"/>
              <w:right w:w="115" w:type="dxa"/>
            </w:tcMar>
            <w:vAlign w:val="center"/>
          </w:tcPr>
          <w:p w14:paraId="14712467" w14:textId="360F02BE"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7528C7">
              <w:rPr>
                <w:rFonts w:cs="Times New Roman"/>
              </w:rPr>
              <w:t>Also known as the Investigator of Record (IOR), is responsible for the conduct of a clinical trial at a clinical research site. This individual is the signatory for the Form FDA 1572 (for IND studies) or the I</w:t>
            </w:r>
            <w:r w:rsidR="00D153B9" w:rsidRPr="007528C7">
              <w:rPr>
                <w:rFonts w:cs="Times New Roman"/>
              </w:rPr>
              <w:t>O</w:t>
            </w:r>
            <w:r w:rsidRPr="007528C7">
              <w:rPr>
                <w:rFonts w:cs="Times New Roman"/>
              </w:rPr>
              <w:t>R Form (for non-IND studies). Written delegation of authority for specific study responsibilities may be given to qualified individuals.</w:t>
            </w:r>
          </w:p>
        </w:tc>
      </w:tr>
      <w:tr w:rsidR="00FF3B71" w:rsidRPr="00E87067" w14:paraId="05BD25DB" w14:textId="77777777" w:rsidTr="007528C7">
        <w:tc>
          <w:tcPr>
            <w:cnfStyle w:val="001000000000" w:firstRow="0" w:lastRow="0" w:firstColumn="1" w:lastColumn="0" w:oddVBand="0" w:evenVBand="0" w:oddHBand="0" w:evenHBand="0" w:firstRowFirstColumn="0" w:firstRowLastColumn="0" w:lastRowFirstColumn="0" w:lastRowLastColumn="0"/>
            <w:tcW w:w="2785" w:type="dxa"/>
            <w:tcMar>
              <w:top w:w="86" w:type="dxa"/>
              <w:left w:w="115" w:type="dxa"/>
              <w:bottom w:w="86" w:type="dxa"/>
              <w:right w:w="115" w:type="dxa"/>
            </w:tcMar>
            <w:vAlign w:val="center"/>
          </w:tcPr>
          <w:p w14:paraId="10F6CB36" w14:textId="77777777" w:rsidR="00FF3B71" w:rsidRPr="007528C7" w:rsidRDefault="00FF3B71" w:rsidP="007528C7">
            <w:pPr>
              <w:spacing w:before="0"/>
              <w:rPr>
                <w:rFonts w:cs="Times New Roman"/>
              </w:rPr>
            </w:pPr>
            <w:r w:rsidRPr="007528C7">
              <w:rPr>
                <w:rFonts w:cs="Times New Roman"/>
              </w:rPr>
              <w:t>Protocol:</w:t>
            </w:r>
          </w:p>
        </w:tc>
        <w:tc>
          <w:tcPr>
            <w:tcW w:w="7125" w:type="dxa"/>
            <w:tcMar>
              <w:top w:w="86" w:type="dxa"/>
              <w:left w:w="115" w:type="dxa"/>
              <w:bottom w:w="86" w:type="dxa"/>
              <w:right w:w="115" w:type="dxa"/>
            </w:tcMar>
            <w:vAlign w:val="center"/>
          </w:tcPr>
          <w:p w14:paraId="66DEA06B" w14:textId="77777777"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7528C7">
              <w:rPr>
                <w:rFonts w:cs="Times New Roman"/>
              </w:rPr>
              <w:t>A document that describes the objective(s), design, methodology, statistical considerations, and organization of a trial as well as provides the background and rationale for the trial.</w:t>
            </w:r>
          </w:p>
        </w:tc>
      </w:tr>
      <w:tr w:rsidR="00FF3B71" w:rsidRPr="00E87067" w14:paraId="6BCD6840" w14:textId="77777777" w:rsidTr="007528C7">
        <w:tc>
          <w:tcPr>
            <w:cnfStyle w:val="001000000000" w:firstRow="0" w:lastRow="0" w:firstColumn="1" w:lastColumn="0" w:oddVBand="0" w:evenVBand="0" w:oddHBand="0" w:evenHBand="0" w:firstRowFirstColumn="0" w:firstRowLastColumn="0" w:lastRowFirstColumn="0" w:lastRowLastColumn="0"/>
            <w:tcW w:w="2785" w:type="dxa"/>
            <w:tcMar>
              <w:top w:w="86" w:type="dxa"/>
              <w:left w:w="115" w:type="dxa"/>
              <w:bottom w:w="86" w:type="dxa"/>
              <w:right w:w="115" w:type="dxa"/>
            </w:tcMar>
            <w:vAlign w:val="center"/>
          </w:tcPr>
          <w:p w14:paraId="4461F523" w14:textId="77777777" w:rsidR="00FF3B71" w:rsidRPr="007528C7" w:rsidRDefault="00FF3B71" w:rsidP="007528C7">
            <w:pPr>
              <w:spacing w:before="0"/>
              <w:rPr>
                <w:rFonts w:cs="Times New Roman"/>
              </w:rPr>
            </w:pPr>
            <w:r w:rsidRPr="007528C7">
              <w:rPr>
                <w:rFonts w:cs="Times New Roman"/>
              </w:rPr>
              <w:t>Protocol Deviations:</w:t>
            </w:r>
          </w:p>
        </w:tc>
        <w:tc>
          <w:tcPr>
            <w:tcW w:w="7125" w:type="dxa"/>
            <w:tcMar>
              <w:top w:w="86" w:type="dxa"/>
              <w:left w:w="115" w:type="dxa"/>
              <w:bottom w:w="86" w:type="dxa"/>
              <w:right w:w="115" w:type="dxa"/>
            </w:tcMar>
            <w:vAlign w:val="center"/>
          </w:tcPr>
          <w:p w14:paraId="7D060A7D" w14:textId="793C349F"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7528C7">
              <w:rPr>
                <w:rFonts w:cs="Times New Roman"/>
              </w:rPr>
              <w:t>Any noncompliance with the clinical trial protocol, Good Clinical Practice (GCP), or protocol-specific Manual of Procedures (MOP) requirement. The noncompliance may be either on the part of the subject, the investigator, or the study site staff, and may result in significant added risk to the study subject. As a result of deviations, corrective actions are to be developed by the site and implemented promptly.</w:t>
            </w:r>
          </w:p>
        </w:tc>
      </w:tr>
      <w:tr w:rsidR="00FF3B71" w:rsidRPr="00E87067" w14:paraId="29577E39" w14:textId="77777777" w:rsidTr="007528C7">
        <w:tc>
          <w:tcPr>
            <w:cnfStyle w:val="001000000000" w:firstRow="0" w:lastRow="0" w:firstColumn="1" w:lastColumn="0" w:oddVBand="0" w:evenVBand="0" w:oddHBand="0" w:evenHBand="0" w:firstRowFirstColumn="0" w:firstRowLastColumn="0" w:lastRowFirstColumn="0" w:lastRowLastColumn="0"/>
            <w:tcW w:w="2785" w:type="dxa"/>
            <w:tcMar>
              <w:top w:w="86" w:type="dxa"/>
              <w:left w:w="115" w:type="dxa"/>
              <w:bottom w:w="86" w:type="dxa"/>
              <w:right w:w="115" w:type="dxa"/>
            </w:tcMar>
            <w:vAlign w:val="center"/>
          </w:tcPr>
          <w:p w14:paraId="42254F6B" w14:textId="77777777" w:rsidR="00FF3B71" w:rsidRPr="007528C7" w:rsidRDefault="00FF3B71" w:rsidP="007528C7">
            <w:pPr>
              <w:spacing w:before="0"/>
              <w:rPr>
                <w:rFonts w:cs="Times New Roman"/>
              </w:rPr>
            </w:pPr>
            <w:r w:rsidRPr="007528C7">
              <w:rPr>
                <w:rFonts w:cs="Times New Roman"/>
              </w:rPr>
              <w:lastRenderedPageBreak/>
              <w:t>Randomization:</w:t>
            </w:r>
          </w:p>
        </w:tc>
        <w:tc>
          <w:tcPr>
            <w:tcW w:w="7125" w:type="dxa"/>
            <w:tcMar>
              <w:top w:w="86" w:type="dxa"/>
              <w:left w:w="115" w:type="dxa"/>
              <w:bottom w:w="86" w:type="dxa"/>
              <w:right w:w="115" w:type="dxa"/>
            </w:tcMar>
            <w:vAlign w:val="center"/>
          </w:tcPr>
          <w:p w14:paraId="2C649291" w14:textId="77777777"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7528C7">
              <w:rPr>
                <w:rFonts w:cs="Times New Roman"/>
              </w:rPr>
              <w:t>The process of assigning trial subjects to treatment or control groups using an element of chance to determine the assignments in order to reduce bias.</w:t>
            </w:r>
          </w:p>
        </w:tc>
      </w:tr>
      <w:tr w:rsidR="00FF3B71" w:rsidRPr="00E87067" w14:paraId="620B6CC9" w14:textId="77777777" w:rsidTr="007528C7">
        <w:tc>
          <w:tcPr>
            <w:cnfStyle w:val="001000000000" w:firstRow="0" w:lastRow="0" w:firstColumn="1" w:lastColumn="0" w:oddVBand="0" w:evenVBand="0" w:oddHBand="0" w:evenHBand="0" w:firstRowFirstColumn="0" w:firstRowLastColumn="0" w:lastRowFirstColumn="0" w:lastRowLastColumn="0"/>
            <w:tcW w:w="2785" w:type="dxa"/>
            <w:tcMar>
              <w:top w:w="86" w:type="dxa"/>
              <w:left w:w="115" w:type="dxa"/>
              <w:bottom w:w="86" w:type="dxa"/>
              <w:right w:w="115" w:type="dxa"/>
            </w:tcMar>
            <w:vAlign w:val="center"/>
          </w:tcPr>
          <w:p w14:paraId="1C92175E" w14:textId="77777777" w:rsidR="00FF3B71" w:rsidRPr="007528C7" w:rsidRDefault="00FF3B71" w:rsidP="007528C7">
            <w:pPr>
              <w:spacing w:before="0"/>
              <w:rPr>
                <w:rFonts w:cs="Times New Roman"/>
              </w:rPr>
            </w:pPr>
            <w:r w:rsidRPr="007528C7">
              <w:rPr>
                <w:rFonts w:cs="Times New Roman"/>
              </w:rPr>
              <w:t>Research:</w:t>
            </w:r>
          </w:p>
        </w:tc>
        <w:tc>
          <w:tcPr>
            <w:tcW w:w="7125" w:type="dxa"/>
            <w:tcMar>
              <w:top w:w="86" w:type="dxa"/>
              <w:left w:w="115" w:type="dxa"/>
              <w:bottom w:w="86" w:type="dxa"/>
              <w:right w:w="115" w:type="dxa"/>
            </w:tcMar>
            <w:vAlign w:val="center"/>
          </w:tcPr>
          <w:p w14:paraId="2B972FA4" w14:textId="77777777"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7528C7">
              <w:rPr>
                <w:rFonts w:cs="Times New Roman"/>
              </w:rPr>
              <w:t>According to 45 CFR 46, this is “a systematic investigation, including research development, testing and evaluation, designed to develop or contribute to generalizable knowledge. Activities which meet this definition constitute research for purposes of this policy, whether or not they are conducted or supported under a program which is considered research for other purposes. For example, some demonstration and service programs may include research activities.”</w:t>
            </w:r>
          </w:p>
        </w:tc>
      </w:tr>
      <w:tr w:rsidR="00FF3B71" w:rsidRPr="00E87067" w14:paraId="38D140A4" w14:textId="77777777" w:rsidTr="007528C7">
        <w:tc>
          <w:tcPr>
            <w:cnfStyle w:val="001000000000" w:firstRow="0" w:lastRow="0" w:firstColumn="1" w:lastColumn="0" w:oddVBand="0" w:evenVBand="0" w:oddHBand="0" w:evenHBand="0" w:firstRowFirstColumn="0" w:firstRowLastColumn="0" w:lastRowFirstColumn="0" w:lastRowLastColumn="0"/>
            <w:tcW w:w="2785" w:type="dxa"/>
            <w:tcMar>
              <w:top w:w="86" w:type="dxa"/>
              <w:left w:w="115" w:type="dxa"/>
              <w:bottom w:w="86" w:type="dxa"/>
              <w:right w:w="115" w:type="dxa"/>
            </w:tcMar>
            <w:vAlign w:val="center"/>
          </w:tcPr>
          <w:p w14:paraId="6B593C6D" w14:textId="77777777" w:rsidR="00FF3B71" w:rsidRPr="007528C7" w:rsidRDefault="00FF3B71" w:rsidP="007528C7">
            <w:pPr>
              <w:spacing w:before="0"/>
              <w:rPr>
                <w:rFonts w:cs="Times New Roman"/>
              </w:rPr>
            </w:pPr>
            <w:r w:rsidRPr="007528C7">
              <w:rPr>
                <w:rFonts w:cs="Times New Roman"/>
              </w:rPr>
              <w:t>Research Pharmacist:</w:t>
            </w:r>
          </w:p>
        </w:tc>
        <w:tc>
          <w:tcPr>
            <w:tcW w:w="7125" w:type="dxa"/>
            <w:tcMar>
              <w:top w:w="86" w:type="dxa"/>
              <w:left w:w="115" w:type="dxa"/>
              <w:bottom w:w="86" w:type="dxa"/>
              <w:right w:w="115" w:type="dxa"/>
            </w:tcMar>
            <w:vAlign w:val="center"/>
          </w:tcPr>
          <w:p w14:paraId="59700088" w14:textId="25C73429"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7528C7">
              <w:rPr>
                <w:rFonts w:cs="Times New Roman"/>
              </w:rPr>
              <w:t xml:space="preserve">A licensed/registered pharmacist who is designated responsibility by the PI to perform the day-to-day research pharmacy activities and </w:t>
            </w:r>
            <w:r w:rsidR="009B3AA1" w:rsidRPr="007528C7">
              <w:rPr>
                <w:rFonts w:cs="Times New Roman"/>
              </w:rPr>
              <w:t>investigational</w:t>
            </w:r>
            <w:r w:rsidRPr="007528C7">
              <w:rPr>
                <w:rFonts w:cs="Times New Roman"/>
              </w:rPr>
              <w:t xml:space="preserve"> product management at clinical research sites, including but not limited to the procurement, storage, preparation, dispensing, drug accountability, and final disposition of </w:t>
            </w:r>
            <w:r w:rsidR="009B3AA1" w:rsidRPr="007528C7">
              <w:rPr>
                <w:rFonts w:cs="Times New Roman"/>
              </w:rPr>
              <w:t>investigational</w:t>
            </w:r>
            <w:r w:rsidRPr="007528C7">
              <w:rPr>
                <w:rFonts w:cs="Times New Roman"/>
              </w:rPr>
              <w:t xml:space="preserve"> products for </w:t>
            </w:r>
            <w:r w:rsidR="00C52FD8">
              <w:rPr>
                <w:rFonts w:cs="Times New Roman"/>
              </w:rPr>
              <w:t xml:space="preserve">the </w:t>
            </w:r>
            <w:r w:rsidRPr="007528C7">
              <w:rPr>
                <w:rFonts w:cs="Times New Roman"/>
              </w:rPr>
              <w:t>DMID-funded/sponsored clinical trial(s).</w:t>
            </w:r>
          </w:p>
        </w:tc>
      </w:tr>
      <w:tr w:rsidR="00FF3B71" w:rsidRPr="00E87067" w14:paraId="1EF02A6F" w14:textId="77777777" w:rsidTr="007528C7">
        <w:tc>
          <w:tcPr>
            <w:cnfStyle w:val="001000000000" w:firstRow="0" w:lastRow="0" w:firstColumn="1" w:lastColumn="0" w:oddVBand="0" w:evenVBand="0" w:oddHBand="0" w:evenHBand="0" w:firstRowFirstColumn="0" w:firstRowLastColumn="0" w:lastRowFirstColumn="0" w:lastRowLastColumn="0"/>
            <w:tcW w:w="2785" w:type="dxa"/>
            <w:tcMar>
              <w:top w:w="86" w:type="dxa"/>
              <w:left w:w="115" w:type="dxa"/>
              <w:bottom w:w="86" w:type="dxa"/>
              <w:right w:w="115" w:type="dxa"/>
            </w:tcMar>
            <w:vAlign w:val="center"/>
          </w:tcPr>
          <w:p w14:paraId="4EA9A83F" w14:textId="77777777" w:rsidR="00FF3B71" w:rsidRPr="007528C7" w:rsidRDefault="00FF3B71" w:rsidP="007528C7">
            <w:pPr>
              <w:spacing w:before="0"/>
              <w:rPr>
                <w:rFonts w:cs="Times New Roman"/>
              </w:rPr>
            </w:pPr>
            <w:r w:rsidRPr="007528C7">
              <w:rPr>
                <w:rFonts w:cs="Times New Roman"/>
              </w:rPr>
              <w:t>Research Pharmacy:</w:t>
            </w:r>
          </w:p>
        </w:tc>
        <w:tc>
          <w:tcPr>
            <w:tcW w:w="7125" w:type="dxa"/>
            <w:tcMar>
              <w:top w:w="86" w:type="dxa"/>
              <w:left w:w="115" w:type="dxa"/>
              <w:bottom w:w="86" w:type="dxa"/>
              <w:right w:w="115" w:type="dxa"/>
            </w:tcMar>
            <w:vAlign w:val="center"/>
          </w:tcPr>
          <w:p w14:paraId="5DA85C77" w14:textId="077DCEE7"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7528C7">
              <w:rPr>
                <w:rFonts w:cs="Times New Roman"/>
              </w:rPr>
              <w:t xml:space="preserve">For purpose of this document, any facility, building, room, or secure area used to perform one or more of the following functions: storage, preparation, dispensing, and management of </w:t>
            </w:r>
            <w:r w:rsidR="009B3AA1" w:rsidRPr="007528C7">
              <w:rPr>
                <w:rFonts w:cs="Times New Roman"/>
              </w:rPr>
              <w:t>investigational</w:t>
            </w:r>
            <w:r w:rsidRPr="007528C7">
              <w:rPr>
                <w:rFonts w:cs="Times New Roman"/>
              </w:rPr>
              <w:t xml:space="preserve"> products (e.g., hospital or institutional pharmacy, dispensary, drug storage unit).</w:t>
            </w:r>
          </w:p>
        </w:tc>
      </w:tr>
      <w:tr w:rsidR="00FF3B71" w:rsidRPr="00E87067" w14:paraId="51F60CAB" w14:textId="77777777" w:rsidTr="007528C7">
        <w:tc>
          <w:tcPr>
            <w:cnfStyle w:val="001000000000" w:firstRow="0" w:lastRow="0" w:firstColumn="1" w:lastColumn="0" w:oddVBand="0" w:evenVBand="0" w:oddHBand="0" w:evenHBand="0" w:firstRowFirstColumn="0" w:firstRowLastColumn="0" w:lastRowFirstColumn="0" w:lastRowLastColumn="0"/>
            <w:tcW w:w="2785" w:type="dxa"/>
            <w:tcMar>
              <w:top w:w="86" w:type="dxa"/>
              <w:left w:w="115" w:type="dxa"/>
              <w:bottom w:w="86" w:type="dxa"/>
              <w:right w:w="115" w:type="dxa"/>
            </w:tcMar>
            <w:vAlign w:val="center"/>
          </w:tcPr>
          <w:p w14:paraId="7E9898B2" w14:textId="77777777" w:rsidR="00FF3B71" w:rsidRPr="007528C7" w:rsidRDefault="00FF3B71" w:rsidP="007528C7">
            <w:pPr>
              <w:spacing w:before="0"/>
              <w:rPr>
                <w:rFonts w:cs="Times New Roman"/>
              </w:rPr>
            </w:pPr>
            <w:r w:rsidRPr="007528C7">
              <w:rPr>
                <w:rFonts w:cs="Times New Roman"/>
              </w:rPr>
              <w:t>Research Pharmacy Ancillary Supplies:</w:t>
            </w:r>
          </w:p>
        </w:tc>
        <w:tc>
          <w:tcPr>
            <w:tcW w:w="7125" w:type="dxa"/>
            <w:tcMar>
              <w:top w:w="86" w:type="dxa"/>
              <w:left w:w="115" w:type="dxa"/>
              <w:bottom w:w="86" w:type="dxa"/>
              <w:right w:w="115" w:type="dxa"/>
            </w:tcMar>
            <w:vAlign w:val="center"/>
          </w:tcPr>
          <w:p w14:paraId="3F26E398" w14:textId="77777777"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7528C7">
              <w:rPr>
                <w:rFonts w:cs="Times New Roman"/>
              </w:rPr>
              <w:t>Any materials or tools that may be used in a pharmacy to perform and support the day-to-day activities and functions of the pharmacist, such as needles and syringes, oral syringes, prescription vials and lids, gowns, masks, IV solutions, or diluents.</w:t>
            </w:r>
          </w:p>
        </w:tc>
      </w:tr>
      <w:tr w:rsidR="00FF3B71" w:rsidRPr="00E87067" w14:paraId="45D4CD13" w14:textId="77777777" w:rsidTr="007528C7">
        <w:tc>
          <w:tcPr>
            <w:cnfStyle w:val="001000000000" w:firstRow="0" w:lastRow="0" w:firstColumn="1" w:lastColumn="0" w:oddVBand="0" w:evenVBand="0" w:oddHBand="0" w:evenHBand="0" w:firstRowFirstColumn="0" w:firstRowLastColumn="0" w:lastRowFirstColumn="0" w:lastRowLastColumn="0"/>
            <w:tcW w:w="2785" w:type="dxa"/>
            <w:tcMar>
              <w:top w:w="86" w:type="dxa"/>
              <w:left w:w="115" w:type="dxa"/>
              <w:bottom w:w="86" w:type="dxa"/>
              <w:right w:w="115" w:type="dxa"/>
            </w:tcMar>
            <w:vAlign w:val="center"/>
          </w:tcPr>
          <w:p w14:paraId="6750DCC7" w14:textId="77777777" w:rsidR="00FF3B71" w:rsidRPr="007528C7" w:rsidRDefault="00FF3B71" w:rsidP="007528C7">
            <w:pPr>
              <w:spacing w:before="0"/>
              <w:rPr>
                <w:rFonts w:cs="Times New Roman"/>
              </w:rPr>
            </w:pPr>
            <w:r w:rsidRPr="007528C7">
              <w:rPr>
                <w:rFonts w:cs="Times New Roman"/>
              </w:rPr>
              <w:t>Research Pharmacy Equipment:</w:t>
            </w:r>
          </w:p>
        </w:tc>
        <w:tc>
          <w:tcPr>
            <w:tcW w:w="7125" w:type="dxa"/>
            <w:tcMar>
              <w:top w:w="86" w:type="dxa"/>
              <w:left w:w="115" w:type="dxa"/>
              <w:bottom w:w="86" w:type="dxa"/>
              <w:right w:w="115" w:type="dxa"/>
            </w:tcMar>
            <w:vAlign w:val="center"/>
          </w:tcPr>
          <w:p w14:paraId="2432A446" w14:textId="6963B7D5"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7528C7">
              <w:rPr>
                <w:rFonts w:cs="Times New Roman"/>
              </w:rPr>
              <w:t xml:space="preserve">Apparatus (device or machinery) that is utilized to ensure the physical and scientific integrity of the </w:t>
            </w:r>
            <w:r w:rsidR="009B3AA1" w:rsidRPr="007528C7">
              <w:rPr>
                <w:rFonts w:cs="Times New Roman"/>
              </w:rPr>
              <w:t>investigational</w:t>
            </w:r>
            <w:r w:rsidRPr="007528C7">
              <w:rPr>
                <w:rFonts w:cs="Times New Roman"/>
              </w:rPr>
              <w:t xml:space="preserve"> product during shipment, storage, handling, and preparation. Examples of pharmacy equipment are biological safety cabinets, refrigerators, -20˚C freezers, -70˚C freezers, air conditioners, air heaters, humidifiers, dehumidifiers, thermometers, vortex machines, temperature alarm systems, limited access/security systems (security alarms, key locks), locking file and storage cabinets, shelving, counting trays for tablets and capsules, graduated cylinders, spatulas, </w:t>
            </w:r>
            <w:r w:rsidR="009B3AA1" w:rsidRPr="007528C7">
              <w:rPr>
                <w:rFonts w:cs="Times New Roman"/>
              </w:rPr>
              <w:t>investigational</w:t>
            </w:r>
            <w:r w:rsidRPr="007528C7">
              <w:rPr>
                <w:rFonts w:cs="Times New Roman"/>
              </w:rPr>
              <w:t xml:space="preserve"> product containers, fax machines, computers, or printers.</w:t>
            </w:r>
          </w:p>
        </w:tc>
      </w:tr>
      <w:tr w:rsidR="00FF3B71" w:rsidRPr="00E87067" w14:paraId="58B3958D" w14:textId="77777777" w:rsidTr="007528C7">
        <w:tc>
          <w:tcPr>
            <w:cnfStyle w:val="001000000000" w:firstRow="0" w:lastRow="0" w:firstColumn="1" w:lastColumn="0" w:oddVBand="0" w:evenVBand="0" w:oddHBand="0" w:evenHBand="0" w:firstRowFirstColumn="0" w:firstRowLastColumn="0" w:lastRowFirstColumn="0" w:lastRowLastColumn="0"/>
            <w:tcW w:w="2785" w:type="dxa"/>
            <w:tcMar>
              <w:top w:w="86" w:type="dxa"/>
              <w:left w:w="115" w:type="dxa"/>
              <w:bottom w:w="86" w:type="dxa"/>
              <w:right w:w="115" w:type="dxa"/>
            </w:tcMar>
            <w:vAlign w:val="center"/>
          </w:tcPr>
          <w:p w14:paraId="4B34325E" w14:textId="120246E1" w:rsidR="00FF3B71" w:rsidRPr="007528C7" w:rsidRDefault="00FF3B71" w:rsidP="007528C7">
            <w:pPr>
              <w:spacing w:before="0"/>
              <w:rPr>
                <w:rFonts w:cs="Times New Roman"/>
              </w:rPr>
            </w:pPr>
            <w:r w:rsidRPr="007528C7">
              <w:rPr>
                <w:rFonts w:cs="Times New Roman"/>
              </w:rPr>
              <w:t>Unblinded Study Vaccine Administrator:</w:t>
            </w:r>
          </w:p>
        </w:tc>
        <w:tc>
          <w:tcPr>
            <w:tcW w:w="7125" w:type="dxa"/>
            <w:tcMar>
              <w:top w:w="86" w:type="dxa"/>
              <w:left w:w="115" w:type="dxa"/>
              <w:bottom w:w="86" w:type="dxa"/>
              <w:right w:w="115" w:type="dxa"/>
            </w:tcMar>
            <w:vAlign w:val="center"/>
          </w:tcPr>
          <w:p w14:paraId="2C7D29A6" w14:textId="0B744425"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7528C7">
              <w:rPr>
                <w:rFonts w:cs="Times New Roman"/>
              </w:rPr>
              <w:t xml:space="preserve">A study personnel member credentialed to administer vaccines and may also participate in dose preparation but will not be involved in study-related assessments or have subject contact for data collection following </w:t>
            </w:r>
            <w:r w:rsidR="009B3AA1" w:rsidRPr="007528C7">
              <w:rPr>
                <w:rFonts w:cs="Times New Roman"/>
              </w:rPr>
              <w:t>investigational</w:t>
            </w:r>
            <w:r w:rsidRPr="007528C7">
              <w:rPr>
                <w:rFonts w:cs="Times New Roman"/>
              </w:rPr>
              <w:t xml:space="preserve"> vaccine administration.</w:t>
            </w:r>
          </w:p>
        </w:tc>
      </w:tr>
    </w:tbl>
    <w:p w14:paraId="7C7D30AA" w14:textId="77777777" w:rsidR="00FF3B71" w:rsidRPr="00E87067" w:rsidRDefault="00FF3B71" w:rsidP="00E87067">
      <w:pPr>
        <w:sectPr w:rsidR="00FF3B71" w:rsidRPr="00E87067" w:rsidSect="00B64A62">
          <w:pgSz w:w="12240" w:h="15840" w:code="1"/>
          <w:pgMar w:top="1080" w:right="1180" w:bottom="1120" w:left="1140" w:header="576" w:footer="432" w:gutter="0"/>
          <w:cols w:space="720"/>
          <w:docGrid w:linePitch="299"/>
        </w:sectPr>
      </w:pPr>
    </w:p>
    <w:p w14:paraId="54319E02" w14:textId="23804255" w:rsidR="007B2662" w:rsidRDefault="007B2662" w:rsidP="007528C7">
      <w:pPr>
        <w:pStyle w:val="Heading2"/>
        <w:ind w:left="0" w:firstLine="0"/>
      </w:pPr>
      <w:bookmarkStart w:id="7" w:name="United_States_Pharmacopeia/National_Form"/>
      <w:bookmarkStart w:id="8" w:name="_Ref206571820"/>
      <w:bookmarkStart w:id="9" w:name="_Toc224716366"/>
      <w:bookmarkStart w:id="10" w:name="_Toc224716408"/>
      <w:bookmarkEnd w:id="7"/>
      <w:r>
        <w:lastRenderedPageBreak/>
        <w:t xml:space="preserve">Table </w:t>
      </w:r>
      <w:r>
        <w:fldChar w:fldCharType="begin"/>
      </w:r>
      <w:r>
        <w:instrText>SEQ Table \* ARABIC</w:instrText>
      </w:r>
      <w:r>
        <w:fldChar w:fldCharType="separate"/>
      </w:r>
      <w:r w:rsidR="00843F45">
        <w:rPr>
          <w:noProof/>
        </w:rPr>
        <w:t>4</w:t>
      </w:r>
      <w:r>
        <w:fldChar w:fldCharType="end"/>
      </w:r>
      <w:bookmarkEnd w:id="8"/>
      <w:r>
        <w:t xml:space="preserve"> </w:t>
      </w:r>
      <w:r w:rsidR="009B3AA1">
        <w:t>Investigational</w:t>
      </w:r>
      <w:r w:rsidR="0004799E">
        <w:t xml:space="preserve"> P</w:t>
      </w:r>
      <w:r w:rsidR="00D9173B">
        <w:t>r</w:t>
      </w:r>
      <w:r w:rsidR="0004799E">
        <w:t>oduct</w:t>
      </w:r>
      <w:r>
        <w:t xml:space="preserve"> Storage Condition</w:t>
      </w:r>
      <w:r w:rsidR="00C349CD">
        <w:t>s</w:t>
      </w:r>
      <w:r>
        <w:t xml:space="preserve"> </w:t>
      </w:r>
      <w:r w:rsidR="00A5591A">
        <w:t xml:space="preserve">and Temperature </w:t>
      </w:r>
      <w:r>
        <w:t>Definitions</w:t>
      </w:r>
      <w:r w:rsidR="00D9173B">
        <w:t>*</w:t>
      </w:r>
      <w:bookmarkEnd w:id="9"/>
      <w:bookmarkEnd w:id="10"/>
    </w:p>
    <w:tbl>
      <w:tblPr>
        <w:tblStyle w:val="DMIDTableLeftColumnShaded"/>
        <w:tblW w:w="0" w:type="auto"/>
        <w:tblLook w:val="04A0" w:firstRow="1" w:lastRow="0" w:firstColumn="1" w:lastColumn="0" w:noHBand="0" w:noVBand="1"/>
      </w:tblPr>
      <w:tblGrid>
        <w:gridCol w:w="2065"/>
        <w:gridCol w:w="7845"/>
      </w:tblGrid>
      <w:tr w:rsidR="00FF3B71" w:rsidRPr="00E87067" w14:paraId="1C5FD95F" w14:textId="77777777" w:rsidTr="007528C7">
        <w:tc>
          <w:tcPr>
            <w:cnfStyle w:val="001000000000" w:firstRow="0" w:lastRow="0" w:firstColumn="1" w:lastColumn="0" w:oddVBand="0" w:evenVBand="0" w:oddHBand="0" w:evenHBand="0" w:firstRowFirstColumn="0" w:firstRowLastColumn="0" w:lastRowFirstColumn="0" w:lastRowLastColumn="0"/>
            <w:tcW w:w="2065" w:type="dxa"/>
            <w:tcMar>
              <w:top w:w="86" w:type="dxa"/>
              <w:left w:w="115" w:type="dxa"/>
              <w:bottom w:w="86" w:type="dxa"/>
              <w:right w:w="115" w:type="dxa"/>
            </w:tcMar>
            <w:vAlign w:val="center"/>
          </w:tcPr>
          <w:p w14:paraId="69D0DF5D" w14:textId="77777777" w:rsidR="00FF3B71" w:rsidRPr="007528C7" w:rsidRDefault="00FF3B71" w:rsidP="007528C7">
            <w:pPr>
              <w:spacing w:before="0"/>
            </w:pPr>
            <w:r w:rsidRPr="007528C7">
              <w:t>Cold:</w:t>
            </w:r>
          </w:p>
        </w:tc>
        <w:tc>
          <w:tcPr>
            <w:tcW w:w="7845" w:type="dxa"/>
            <w:tcMar>
              <w:top w:w="86" w:type="dxa"/>
              <w:left w:w="115" w:type="dxa"/>
              <w:bottom w:w="86" w:type="dxa"/>
              <w:right w:w="115" w:type="dxa"/>
            </w:tcMar>
            <w:vAlign w:val="center"/>
          </w:tcPr>
          <w:p w14:paraId="0D15E787" w14:textId="608C31F2" w:rsidR="00FF3B71" w:rsidRPr="007528C7" w:rsidRDefault="007B2F57" w:rsidP="007528C7">
            <w:pPr>
              <w:spacing w:before="0"/>
              <w:cnfStyle w:val="000000000000" w:firstRow="0" w:lastRow="0" w:firstColumn="0" w:lastColumn="0" w:oddVBand="0" w:evenVBand="0" w:oddHBand="0" w:evenHBand="0" w:firstRowFirstColumn="0" w:firstRowLastColumn="0" w:lastRowFirstColumn="0" w:lastRowLastColumn="0"/>
            </w:pPr>
            <w:r w:rsidRPr="007528C7">
              <w:t xml:space="preserve">Any temperature </w:t>
            </w:r>
            <w:r w:rsidR="00CD5824">
              <w:t>not exceeding</w:t>
            </w:r>
            <w:r w:rsidRPr="007528C7">
              <w:t xml:space="preserve"> 8°</w:t>
            </w:r>
            <w:r w:rsidRPr="007528C7" w:rsidDel="00CD5824">
              <w:t xml:space="preserve"> </w:t>
            </w:r>
            <w:r w:rsidR="009E4D3C">
              <w:t xml:space="preserve">C </w:t>
            </w:r>
            <w:r w:rsidRPr="007528C7">
              <w:t xml:space="preserve">(46°). </w:t>
            </w:r>
          </w:p>
        </w:tc>
      </w:tr>
      <w:tr w:rsidR="00FF3B71" w:rsidRPr="00E87067" w14:paraId="4402C2CB" w14:textId="77777777" w:rsidTr="007528C7">
        <w:tc>
          <w:tcPr>
            <w:cnfStyle w:val="001000000000" w:firstRow="0" w:lastRow="0" w:firstColumn="1" w:lastColumn="0" w:oddVBand="0" w:evenVBand="0" w:oddHBand="0" w:evenHBand="0" w:firstRowFirstColumn="0" w:firstRowLastColumn="0" w:lastRowFirstColumn="0" w:lastRowLastColumn="0"/>
            <w:tcW w:w="2065" w:type="dxa"/>
            <w:tcMar>
              <w:top w:w="86" w:type="dxa"/>
              <w:left w:w="115" w:type="dxa"/>
              <w:bottom w:w="86" w:type="dxa"/>
              <w:right w:w="115" w:type="dxa"/>
            </w:tcMar>
            <w:vAlign w:val="center"/>
          </w:tcPr>
          <w:p w14:paraId="2422D540" w14:textId="37E16CD0" w:rsidR="00FF3B71" w:rsidRPr="007528C7" w:rsidRDefault="00FF3B71" w:rsidP="007528C7">
            <w:pPr>
              <w:spacing w:before="0"/>
            </w:pPr>
            <w:r w:rsidRPr="007528C7">
              <w:t>Controlled Room Temperature:</w:t>
            </w:r>
          </w:p>
        </w:tc>
        <w:tc>
          <w:tcPr>
            <w:tcW w:w="7845" w:type="dxa"/>
            <w:tcMar>
              <w:top w:w="86" w:type="dxa"/>
              <w:left w:w="115" w:type="dxa"/>
              <w:bottom w:w="86" w:type="dxa"/>
              <w:right w:w="115" w:type="dxa"/>
            </w:tcMar>
            <w:vAlign w:val="center"/>
          </w:tcPr>
          <w:p w14:paraId="70AAFBD1" w14:textId="42B67920" w:rsidR="00BA5FB0" w:rsidRPr="007528C7" w:rsidRDefault="2CF61191" w:rsidP="007528C7">
            <w:pPr>
              <w:spacing w:before="0"/>
              <w:cnfStyle w:val="000000000000" w:firstRow="0" w:lastRow="0" w:firstColumn="0" w:lastColumn="0" w:oddVBand="0" w:evenVBand="0" w:oddHBand="0" w:evenHBand="0" w:firstRowFirstColumn="0" w:firstRowLastColumn="0" w:lastRowFirstColumn="0" w:lastRowLastColumn="0"/>
            </w:pPr>
            <w:r w:rsidRPr="007528C7">
              <w:t xml:space="preserve">The temperature maintained thermostatically that encompasses the usual and customary working environment of 20°–25° </w:t>
            </w:r>
            <w:r w:rsidR="1B2F5244" w:rsidRPr="007528C7">
              <w:t xml:space="preserve">C </w:t>
            </w:r>
            <w:r w:rsidRPr="007528C7">
              <w:t xml:space="preserve">(68°–77° F).  </w:t>
            </w:r>
          </w:p>
          <w:p w14:paraId="21F243B2" w14:textId="6D518E40" w:rsidR="00BA5FB0" w:rsidRPr="007528C7" w:rsidRDefault="00BA5FB0" w:rsidP="007528C7">
            <w:pPr>
              <w:spacing w:before="0"/>
              <w:cnfStyle w:val="000000000000" w:firstRow="0" w:lastRow="0" w:firstColumn="0" w:lastColumn="0" w:oddVBand="0" w:evenVBand="0" w:oddHBand="0" w:evenHBand="0" w:firstRowFirstColumn="0" w:firstRowLastColumn="0" w:lastRowFirstColumn="0" w:lastRowLastColumn="0"/>
            </w:pPr>
          </w:p>
          <w:p w14:paraId="0362C338" w14:textId="77777777" w:rsidR="006776C9" w:rsidRDefault="63BB9049" w:rsidP="00EB3C38">
            <w:pPr>
              <w:spacing w:before="0"/>
              <w:cnfStyle w:val="000000000000" w:firstRow="0" w:lastRow="0" w:firstColumn="0" w:lastColumn="0" w:oddVBand="0" w:evenVBand="0" w:oddHBand="0" w:evenHBand="0" w:firstRowFirstColumn="0" w:firstRowLastColumn="0" w:lastRowFirstColumn="0" w:lastRowLastColumn="0"/>
            </w:pPr>
            <w:r w:rsidRPr="007528C7">
              <w:t>M</w:t>
            </w:r>
            <w:r w:rsidR="3F3EEDB1" w:rsidRPr="007528C7">
              <w:t xml:space="preserve">ean </w:t>
            </w:r>
            <w:r w:rsidRPr="007528C7">
              <w:t>K</w:t>
            </w:r>
            <w:r w:rsidR="2F2D0B26" w:rsidRPr="007528C7">
              <w:t xml:space="preserve">inetic </w:t>
            </w:r>
            <w:r w:rsidRPr="007528C7">
              <w:t>T</w:t>
            </w:r>
            <w:r w:rsidR="436EF678" w:rsidRPr="007528C7">
              <w:t>emperature (MKT)</w:t>
            </w:r>
            <w:r w:rsidRPr="007528C7">
              <w:t xml:space="preserve"> may be used during an excursion provided: </w:t>
            </w:r>
          </w:p>
          <w:p w14:paraId="2109765C" w14:textId="77777777" w:rsidR="006776C9" w:rsidRDefault="63BB9049" w:rsidP="00EB3C38">
            <w:pPr>
              <w:spacing w:before="0"/>
              <w:cnfStyle w:val="000000000000" w:firstRow="0" w:lastRow="0" w:firstColumn="0" w:lastColumn="0" w:oddVBand="0" w:evenVBand="0" w:oddHBand="0" w:evenHBand="0" w:firstRowFirstColumn="0" w:firstRowLastColumn="0" w:lastRowFirstColumn="0" w:lastRowLastColumn="0"/>
            </w:pPr>
            <w:r w:rsidRPr="007528C7">
              <w:t xml:space="preserve">1) MKT does not exceed 25° </w:t>
            </w:r>
            <w:r w:rsidR="1B2F5244" w:rsidRPr="007528C7">
              <w:t xml:space="preserve">C </w:t>
            </w:r>
            <w:r w:rsidRPr="007528C7">
              <w:t xml:space="preserve">(77° F); </w:t>
            </w:r>
          </w:p>
          <w:p w14:paraId="6A16BA81" w14:textId="77777777" w:rsidR="006776C9" w:rsidRDefault="63BB9049" w:rsidP="00EB3C38">
            <w:pPr>
              <w:spacing w:before="0"/>
              <w:cnfStyle w:val="000000000000" w:firstRow="0" w:lastRow="0" w:firstColumn="0" w:lastColumn="0" w:oddVBand="0" w:evenVBand="0" w:oddHBand="0" w:evenHBand="0" w:firstRowFirstColumn="0" w:firstRowLastColumn="0" w:lastRowFirstColumn="0" w:lastRowLastColumn="0"/>
            </w:pPr>
            <w:r w:rsidRPr="007528C7">
              <w:t xml:space="preserve">2) excursion between 15° and 30° </w:t>
            </w:r>
            <w:r w:rsidR="1B2F5244" w:rsidRPr="007528C7">
              <w:t xml:space="preserve">C </w:t>
            </w:r>
            <w:r w:rsidRPr="007528C7">
              <w:t xml:space="preserve">(59° and 86° F); </w:t>
            </w:r>
          </w:p>
          <w:p w14:paraId="4011D62A" w14:textId="77777777" w:rsidR="006776C9" w:rsidRDefault="63BB9049" w:rsidP="00EB3C38">
            <w:pPr>
              <w:spacing w:before="0"/>
              <w:cnfStyle w:val="000000000000" w:firstRow="0" w:lastRow="0" w:firstColumn="0" w:lastColumn="0" w:oddVBand="0" w:evenVBand="0" w:oddHBand="0" w:evenHBand="0" w:firstRowFirstColumn="0" w:firstRowLastColumn="0" w:lastRowFirstColumn="0" w:lastRowLastColumn="0"/>
            </w:pPr>
            <w:r w:rsidRPr="007528C7">
              <w:t>3) transient excursions are</w:t>
            </w:r>
            <w:r w:rsidR="006A46C2" w:rsidRPr="007528C7">
              <w:t xml:space="preserve"> </w:t>
            </w:r>
            <w:r w:rsidR="49A0C6C8" w:rsidRPr="007528C7">
              <w:t>not more than (NMT)</w:t>
            </w:r>
            <w:r w:rsidRPr="007528C7">
              <w:t xml:space="preserve"> 40° </w:t>
            </w:r>
            <w:r w:rsidR="1B2F5244" w:rsidRPr="007528C7">
              <w:t xml:space="preserve">C </w:t>
            </w:r>
            <w:r w:rsidRPr="007528C7">
              <w:t xml:space="preserve">(104° F); and </w:t>
            </w:r>
          </w:p>
          <w:p w14:paraId="530BA96F" w14:textId="683122D3" w:rsidR="00BA5FB0" w:rsidRPr="007528C7" w:rsidRDefault="63BB9049" w:rsidP="007528C7">
            <w:pPr>
              <w:spacing w:before="0"/>
              <w:cnfStyle w:val="000000000000" w:firstRow="0" w:lastRow="0" w:firstColumn="0" w:lastColumn="0" w:oddVBand="0" w:evenVBand="0" w:oddHBand="0" w:evenHBand="0" w:firstRowFirstColumn="0" w:firstRowLastColumn="0" w:lastRowFirstColumn="0" w:lastRowLastColumn="0"/>
            </w:pPr>
            <w:r w:rsidRPr="007528C7">
              <w:t>4) excursion time is NMT 24 h</w:t>
            </w:r>
            <w:r w:rsidR="4925ACF2" w:rsidRPr="007528C7">
              <w:t>ours</w:t>
            </w:r>
            <w:r w:rsidRPr="007528C7">
              <w:t>. These limits (time and</w:t>
            </w:r>
            <w:r w:rsidR="00D35637" w:rsidRPr="00F83732">
              <w:t xml:space="preserve"> </w:t>
            </w:r>
            <w:r w:rsidR="00D35637" w:rsidRPr="007528C7">
              <w:t>temperature) and the calculated MKT must be documented. Articles may be labeled for storage at “controlled room temperature” or at “20°–25° C”, or other wording based on the same MKT. (See USP General Chapter &lt;1079.2&gt;.)</w:t>
            </w:r>
          </w:p>
          <w:p w14:paraId="7F948202" w14:textId="66A94828" w:rsidR="00D26452" w:rsidRPr="007528C7" w:rsidRDefault="00D26452" w:rsidP="007528C7">
            <w:pPr>
              <w:spacing w:before="0"/>
              <w:cnfStyle w:val="000000000000" w:firstRow="0" w:lastRow="0" w:firstColumn="0" w:lastColumn="0" w:oddVBand="0" w:evenVBand="0" w:oddHBand="0" w:evenHBand="0" w:firstRowFirstColumn="0" w:firstRowLastColumn="0" w:lastRowFirstColumn="0" w:lastRowLastColumn="0"/>
            </w:pPr>
          </w:p>
          <w:p w14:paraId="675BB384" w14:textId="2AC70690" w:rsidR="00FF3B71" w:rsidRPr="007528C7" w:rsidRDefault="00D26452" w:rsidP="007528C7">
            <w:pPr>
              <w:spacing w:before="0"/>
              <w:cnfStyle w:val="000000000000" w:firstRow="0" w:lastRow="0" w:firstColumn="0" w:lastColumn="0" w:oddVBand="0" w:evenVBand="0" w:oddHBand="0" w:evenHBand="0" w:firstRowFirstColumn="0" w:firstRowLastColumn="0" w:lastRowFirstColumn="0" w:lastRowLastColumn="0"/>
            </w:pPr>
            <w:r w:rsidRPr="007528C7">
              <w:t>An article for which storage at Controlled room temperature is directed may, alternatively, be stored and shipped in a cool</w:t>
            </w:r>
            <w:r w:rsidR="00183CAA" w:rsidRPr="007528C7">
              <w:t xml:space="preserve"> </w:t>
            </w:r>
            <w:r w:rsidRPr="007528C7">
              <w:t>place or refrigerated, unless otherwise specified in the individual monograph or on the label. Storage time in controlled cold</w:t>
            </w:r>
            <w:r w:rsidR="00183CAA" w:rsidRPr="007528C7">
              <w:t xml:space="preserve"> </w:t>
            </w:r>
            <w:r w:rsidRPr="007528C7">
              <w:t>or cool place cannot be used to calculate excursion temperature outside of controlled room temperature ranges.</w:t>
            </w:r>
          </w:p>
        </w:tc>
      </w:tr>
      <w:tr w:rsidR="00FF3B71" w:rsidRPr="00E87067" w14:paraId="59DAD5EC" w14:textId="77777777" w:rsidTr="007528C7">
        <w:tc>
          <w:tcPr>
            <w:cnfStyle w:val="001000000000" w:firstRow="0" w:lastRow="0" w:firstColumn="1" w:lastColumn="0" w:oddVBand="0" w:evenVBand="0" w:oddHBand="0" w:evenHBand="0" w:firstRowFirstColumn="0" w:firstRowLastColumn="0" w:lastRowFirstColumn="0" w:lastRowLastColumn="0"/>
            <w:tcW w:w="2065" w:type="dxa"/>
            <w:tcMar>
              <w:top w:w="86" w:type="dxa"/>
              <w:left w:w="115" w:type="dxa"/>
              <w:bottom w:w="86" w:type="dxa"/>
              <w:right w:w="115" w:type="dxa"/>
            </w:tcMar>
            <w:vAlign w:val="center"/>
          </w:tcPr>
          <w:p w14:paraId="38F7B88B" w14:textId="77777777" w:rsidR="00FF3B71" w:rsidRPr="007528C7" w:rsidRDefault="00FF3B71" w:rsidP="007528C7">
            <w:pPr>
              <w:spacing w:before="0"/>
            </w:pPr>
            <w:r w:rsidRPr="007528C7">
              <w:t>Cool:</w:t>
            </w:r>
          </w:p>
        </w:tc>
        <w:tc>
          <w:tcPr>
            <w:tcW w:w="7845" w:type="dxa"/>
            <w:tcMar>
              <w:top w:w="86" w:type="dxa"/>
              <w:left w:w="115" w:type="dxa"/>
              <w:bottom w:w="86" w:type="dxa"/>
              <w:right w:w="115" w:type="dxa"/>
            </w:tcMar>
            <w:vAlign w:val="center"/>
          </w:tcPr>
          <w:p w14:paraId="7381FA0A" w14:textId="770B88BF"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pPr>
            <w:r w:rsidRPr="007528C7">
              <w:t xml:space="preserve">Any temperature between 8° and 15° </w:t>
            </w:r>
            <w:r w:rsidR="4CA820A8" w:rsidRPr="007528C7">
              <w:t xml:space="preserve">C </w:t>
            </w:r>
            <w:r w:rsidRPr="007528C7">
              <w:t xml:space="preserve">(46° and 59° F). </w:t>
            </w:r>
          </w:p>
          <w:p w14:paraId="126F7B53" w14:textId="7B48E0DB"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pPr>
            <w:r w:rsidRPr="007528C7">
              <w:t>[Note—An article for which storage in a cool place is directed may, alternatively, be stored and shipped as refrigerated, unless otherwise specified by the individual monograph.]</w:t>
            </w:r>
          </w:p>
        </w:tc>
      </w:tr>
      <w:tr w:rsidR="00FF3B71" w:rsidRPr="00E87067" w14:paraId="43D1E9AB" w14:textId="77777777" w:rsidTr="007528C7">
        <w:tc>
          <w:tcPr>
            <w:cnfStyle w:val="001000000000" w:firstRow="0" w:lastRow="0" w:firstColumn="1" w:lastColumn="0" w:oddVBand="0" w:evenVBand="0" w:oddHBand="0" w:evenHBand="0" w:firstRowFirstColumn="0" w:firstRowLastColumn="0" w:lastRowFirstColumn="0" w:lastRowLastColumn="0"/>
            <w:tcW w:w="2065" w:type="dxa"/>
            <w:tcMar>
              <w:top w:w="86" w:type="dxa"/>
              <w:left w:w="115" w:type="dxa"/>
              <w:bottom w:w="86" w:type="dxa"/>
              <w:right w:w="115" w:type="dxa"/>
            </w:tcMar>
            <w:vAlign w:val="center"/>
          </w:tcPr>
          <w:p w14:paraId="3B4DB678" w14:textId="77777777" w:rsidR="00FF3B71" w:rsidRPr="007528C7" w:rsidRDefault="00FF3B71" w:rsidP="007528C7">
            <w:pPr>
              <w:spacing w:before="0"/>
            </w:pPr>
            <w:r w:rsidRPr="007528C7">
              <w:t>Excessive Heat:</w:t>
            </w:r>
          </w:p>
        </w:tc>
        <w:tc>
          <w:tcPr>
            <w:tcW w:w="7845" w:type="dxa"/>
            <w:tcMar>
              <w:top w:w="86" w:type="dxa"/>
              <w:left w:w="115" w:type="dxa"/>
              <w:bottom w:w="86" w:type="dxa"/>
              <w:right w:w="115" w:type="dxa"/>
            </w:tcMar>
            <w:vAlign w:val="center"/>
          </w:tcPr>
          <w:p w14:paraId="2F5DFD79" w14:textId="6997CA44"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pPr>
            <w:r w:rsidRPr="007528C7">
              <w:t>Any temperature above 40</w:t>
            </w:r>
            <w:r w:rsidR="005439CE" w:rsidRPr="00093ACB">
              <w:t>°</w:t>
            </w:r>
            <w:r w:rsidR="005439CE">
              <w:t xml:space="preserve"> </w:t>
            </w:r>
            <w:r w:rsidRPr="007528C7">
              <w:t>C (104</w:t>
            </w:r>
            <w:r w:rsidR="005439CE" w:rsidRPr="00093ACB">
              <w:t>°</w:t>
            </w:r>
            <w:r w:rsidR="005439CE">
              <w:t xml:space="preserve"> </w:t>
            </w:r>
            <w:r w:rsidRPr="007528C7">
              <w:t>F).</w:t>
            </w:r>
          </w:p>
        </w:tc>
      </w:tr>
      <w:tr w:rsidR="00FF3B71" w:rsidRPr="00E87067" w14:paraId="4014DC3B" w14:textId="77777777" w:rsidTr="007528C7">
        <w:tc>
          <w:tcPr>
            <w:cnfStyle w:val="001000000000" w:firstRow="0" w:lastRow="0" w:firstColumn="1" w:lastColumn="0" w:oddVBand="0" w:evenVBand="0" w:oddHBand="0" w:evenHBand="0" w:firstRowFirstColumn="0" w:firstRowLastColumn="0" w:lastRowFirstColumn="0" w:lastRowLastColumn="0"/>
            <w:tcW w:w="2065" w:type="dxa"/>
            <w:tcMar>
              <w:top w:w="86" w:type="dxa"/>
              <w:left w:w="115" w:type="dxa"/>
              <w:bottom w:w="86" w:type="dxa"/>
              <w:right w:w="115" w:type="dxa"/>
            </w:tcMar>
            <w:vAlign w:val="center"/>
          </w:tcPr>
          <w:p w14:paraId="66FE0F5F" w14:textId="510063E2" w:rsidR="00FF3B71" w:rsidRPr="007528C7" w:rsidRDefault="2CF61191" w:rsidP="007528C7">
            <w:pPr>
              <w:spacing w:before="0"/>
              <w:rPr>
                <w:highlight w:val="yellow"/>
              </w:rPr>
            </w:pPr>
            <w:r w:rsidRPr="007528C7">
              <w:t>Freezer:</w:t>
            </w:r>
          </w:p>
        </w:tc>
        <w:tc>
          <w:tcPr>
            <w:tcW w:w="7845" w:type="dxa"/>
            <w:tcMar>
              <w:top w:w="86" w:type="dxa"/>
              <w:left w:w="115" w:type="dxa"/>
              <w:bottom w:w="86" w:type="dxa"/>
              <w:right w:w="115" w:type="dxa"/>
            </w:tcMar>
            <w:vAlign w:val="center"/>
          </w:tcPr>
          <w:p w14:paraId="1E8A70C4" w14:textId="2AC37AFB"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pPr>
            <w:r w:rsidRPr="007528C7">
              <w:t xml:space="preserve">A place in which the temperature is </w:t>
            </w:r>
            <w:r w:rsidR="00176CD6" w:rsidRPr="007528C7">
              <w:t xml:space="preserve">controlled </w:t>
            </w:r>
            <w:r w:rsidRPr="007528C7">
              <w:t>between –25</w:t>
            </w:r>
            <w:r w:rsidR="005439CE" w:rsidRPr="00093ACB">
              <w:t>°</w:t>
            </w:r>
            <w:r w:rsidR="005439CE">
              <w:t xml:space="preserve"> </w:t>
            </w:r>
            <w:r w:rsidRPr="007528C7">
              <w:t>C and –10</w:t>
            </w:r>
            <w:r w:rsidR="005439CE" w:rsidRPr="00093ACB">
              <w:t>°</w:t>
            </w:r>
            <w:r w:rsidR="005439CE">
              <w:t xml:space="preserve"> </w:t>
            </w:r>
            <w:r w:rsidRPr="007528C7">
              <w:t>C (–13</w:t>
            </w:r>
            <w:r w:rsidR="005439CE" w:rsidRPr="00093ACB">
              <w:t>°</w:t>
            </w:r>
            <w:r w:rsidR="005439CE">
              <w:t xml:space="preserve"> </w:t>
            </w:r>
            <w:r w:rsidRPr="007528C7">
              <w:t>F and 14</w:t>
            </w:r>
            <w:r w:rsidR="005439CE" w:rsidRPr="00093ACB">
              <w:t>°</w:t>
            </w:r>
            <w:r w:rsidR="005439CE">
              <w:t xml:space="preserve"> </w:t>
            </w:r>
            <w:r w:rsidRPr="007528C7">
              <w:t>F).</w:t>
            </w:r>
            <w:r w:rsidR="00EB3240" w:rsidRPr="007528C7">
              <w:t xml:space="preserve"> It is noted that, in some instances, articles may have a recommended storage condition below −20° </w:t>
            </w:r>
            <w:r w:rsidR="00FE7155" w:rsidRPr="007528C7">
              <w:t xml:space="preserve">C </w:t>
            </w:r>
            <w:r w:rsidR="00EB3240" w:rsidRPr="007528C7">
              <w:t xml:space="preserve">(−4° F). In such cases, the temperature of the storage location should be controlled to ±10° </w:t>
            </w:r>
            <w:r w:rsidR="006D3620" w:rsidRPr="007528C7">
              <w:t xml:space="preserve">C </w:t>
            </w:r>
            <w:r w:rsidR="00EB3240" w:rsidRPr="007528C7">
              <w:t>of the recommended storage condition.</w:t>
            </w:r>
          </w:p>
        </w:tc>
      </w:tr>
      <w:tr w:rsidR="00FF3B71" w:rsidRPr="00E87067" w14:paraId="50BDCE4B" w14:textId="77777777" w:rsidTr="007528C7">
        <w:tc>
          <w:tcPr>
            <w:cnfStyle w:val="001000000000" w:firstRow="0" w:lastRow="0" w:firstColumn="1" w:lastColumn="0" w:oddVBand="0" w:evenVBand="0" w:oddHBand="0" w:evenHBand="0" w:firstRowFirstColumn="0" w:firstRowLastColumn="0" w:lastRowFirstColumn="0" w:lastRowLastColumn="0"/>
            <w:tcW w:w="2065" w:type="dxa"/>
            <w:tcMar>
              <w:top w:w="86" w:type="dxa"/>
              <w:left w:w="115" w:type="dxa"/>
              <w:bottom w:w="86" w:type="dxa"/>
              <w:right w:w="115" w:type="dxa"/>
            </w:tcMar>
            <w:vAlign w:val="center"/>
          </w:tcPr>
          <w:p w14:paraId="7B5192C8" w14:textId="3202F0BD" w:rsidR="00FF3B71" w:rsidRPr="007528C7" w:rsidRDefault="00FF3B71" w:rsidP="007528C7">
            <w:pPr>
              <w:spacing w:before="0"/>
            </w:pPr>
            <w:r w:rsidRPr="007528C7">
              <w:t>Refrigerat</w:t>
            </w:r>
            <w:r w:rsidR="00CE24EE" w:rsidRPr="007528C7">
              <w:t>or</w:t>
            </w:r>
            <w:r w:rsidRPr="007528C7">
              <w:t>:</w:t>
            </w:r>
          </w:p>
        </w:tc>
        <w:tc>
          <w:tcPr>
            <w:tcW w:w="7845" w:type="dxa"/>
            <w:tcMar>
              <w:top w:w="86" w:type="dxa"/>
              <w:left w:w="115" w:type="dxa"/>
              <w:bottom w:w="86" w:type="dxa"/>
              <w:right w:w="115" w:type="dxa"/>
            </w:tcMar>
            <w:vAlign w:val="center"/>
          </w:tcPr>
          <w:p w14:paraId="0378EA36" w14:textId="63F9383C"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pPr>
            <w:r w:rsidRPr="007528C7">
              <w:t xml:space="preserve">A cold place in which the temperature is </w:t>
            </w:r>
            <w:r w:rsidR="009F74EE" w:rsidRPr="007528C7">
              <w:t xml:space="preserve">controlled </w:t>
            </w:r>
            <w:r w:rsidRPr="007528C7">
              <w:t>between 2</w:t>
            </w:r>
            <w:r w:rsidR="00C706E5" w:rsidRPr="00093ACB">
              <w:t>°</w:t>
            </w:r>
            <w:r w:rsidR="00C706E5">
              <w:t xml:space="preserve"> </w:t>
            </w:r>
            <w:r w:rsidRPr="007528C7">
              <w:t>C and 8</w:t>
            </w:r>
            <w:r w:rsidR="00C706E5" w:rsidRPr="00093ACB">
              <w:t>°</w:t>
            </w:r>
            <w:r w:rsidR="00C706E5">
              <w:t xml:space="preserve"> </w:t>
            </w:r>
            <w:r w:rsidRPr="007528C7">
              <w:t>C (36</w:t>
            </w:r>
            <w:r w:rsidR="00C706E5" w:rsidRPr="00093ACB">
              <w:t>°</w:t>
            </w:r>
            <w:r w:rsidR="00C706E5">
              <w:t xml:space="preserve"> </w:t>
            </w:r>
            <w:r w:rsidRPr="007528C7">
              <w:t>F and 46</w:t>
            </w:r>
            <w:r w:rsidR="00C706E5" w:rsidRPr="00093ACB">
              <w:t>°</w:t>
            </w:r>
            <w:r w:rsidR="00C706E5">
              <w:t xml:space="preserve"> </w:t>
            </w:r>
            <w:r w:rsidRPr="007528C7">
              <w:t>F).</w:t>
            </w:r>
          </w:p>
        </w:tc>
      </w:tr>
      <w:tr w:rsidR="00FF3B71" w:rsidRPr="00E87067" w14:paraId="11AA0051" w14:textId="77777777" w:rsidTr="007528C7">
        <w:tc>
          <w:tcPr>
            <w:cnfStyle w:val="001000000000" w:firstRow="0" w:lastRow="0" w:firstColumn="1" w:lastColumn="0" w:oddVBand="0" w:evenVBand="0" w:oddHBand="0" w:evenHBand="0" w:firstRowFirstColumn="0" w:firstRowLastColumn="0" w:lastRowFirstColumn="0" w:lastRowLastColumn="0"/>
            <w:tcW w:w="2065" w:type="dxa"/>
            <w:tcMar>
              <w:top w:w="86" w:type="dxa"/>
              <w:left w:w="115" w:type="dxa"/>
              <w:bottom w:w="86" w:type="dxa"/>
              <w:right w:w="115" w:type="dxa"/>
            </w:tcMar>
            <w:vAlign w:val="center"/>
          </w:tcPr>
          <w:p w14:paraId="1C9FE153" w14:textId="49167284" w:rsidR="00FF3B71" w:rsidRPr="007528C7" w:rsidRDefault="00FF3B71" w:rsidP="007528C7">
            <w:pPr>
              <w:spacing w:before="0"/>
            </w:pPr>
            <w:r w:rsidRPr="007528C7">
              <w:t>Room Temperature</w:t>
            </w:r>
            <w:r w:rsidR="00123861">
              <w:t>:</w:t>
            </w:r>
            <w:r w:rsidRPr="007528C7">
              <w:t xml:space="preserve"> </w:t>
            </w:r>
          </w:p>
        </w:tc>
        <w:tc>
          <w:tcPr>
            <w:tcW w:w="7845" w:type="dxa"/>
            <w:tcMar>
              <w:top w:w="86" w:type="dxa"/>
              <w:left w:w="115" w:type="dxa"/>
              <w:bottom w:w="86" w:type="dxa"/>
              <w:right w:w="115" w:type="dxa"/>
            </w:tcMar>
            <w:vAlign w:val="center"/>
          </w:tcPr>
          <w:p w14:paraId="3C93EAF8" w14:textId="1DF1CDE7" w:rsidR="00FF3B71" w:rsidRPr="007528C7" w:rsidRDefault="0CD9BE21" w:rsidP="007528C7">
            <w:pPr>
              <w:spacing w:before="0"/>
              <w:cnfStyle w:val="000000000000" w:firstRow="0" w:lastRow="0" w:firstColumn="0" w:lastColumn="0" w:oddVBand="0" w:evenVBand="0" w:oddHBand="0" w:evenHBand="0" w:firstRowFirstColumn="0" w:firstRowLastColumn="0" w:lastRowFirstColumn="0" w:lastRowLastColumn="0"/>
            </w:pPr>
            <w:r w:rsidRPr="007528C7">
              <w:t xml:space="preserve">(Also referred to as Ambient temperature): </w:t>
            </w:r>
            <w:r w:rsidR="00FF3B71" w:rsidRPr="007528C7">
              <w:t>The temperature prevailing in a working environment.</w:t>
            </w:r>
          </w:p>
        </w:tc>
      </w:tr>
      <w:tr w:rsidR="00FF3B71" w:rsidRPr="00E87067" w14:paraId="23C39210" w14:textId="77777777" w:rsidTr="007528C7">
        <w:tc>
          <w:tcPr>
            <w:cnfStyle w:val="001000000000" w:firstRow="0" w:lastRow="0" w:firstColumn="1" w:lastColumn="0" w:oddVBand="0" w:evenVBand="0" w:oddHBand="0" w:evenHBand="0" w:firstRowFirstColumn="0" w:firstRowLastColumn="0" w:lastRowFirstColumn="0" w:lastRowLastColumn="0"/>
            <w:tcW w:w="2065" w:type="dxa"/>
            <w:tcMar>
              <w:top w:w="86" w:type="dxa"/>
              <w:left w:w="115" w:type="dxa"/>
              <w:bottom w:w="86" w:type="dxa"/>
              <w:right w:w="115" w:type="dxa"/>
            </w:tcMar>
            <w:vAlign w:val="center"/>
          </w:tcPr>
          <w:p w14:paraId="41DADD32" w14:textId="77777777" w:rsidR="00FF3B71" w:rsidRPr="007528C7" w:rsidRDefault="00FF3B71" w:rsidP="007528C7">
            <w:pPr>
              <w:spacing w:before="0"/>
            </w:pPr>
            <w:r w:rsidRPr="007528C7">
              <w:t>Warm:</w:t>
            </w:r>
          </w:p>
        </w:tc>
        <w:tc>
          <w:tcPr>
            <w:tcW w:w="7845" w:type="dxa"/>
            <w:tcMar>
              <w:top w:w="86" w:type="dxa"/>
              <w:left w:w="115" w:type="dxa"/>
              <w:bottom w:w="86" w:type="dxa"/>
              <w:right w:w="115" w:type="dxa"/>
            </w:tcMar>
            <w:vAlign w:val="center"/>
          </w:tcPr>
          <w:p w14:paraId="0464A2BB" w14:textId="27D41793" w:rsidR="00FF3B71" w:rsidRPr="007528C7" w:rsidRDefault="00FF3B71" w:rsidP="007528C7">
            <w:pPr>
              <w:spacing w:before="0"/>
              <w:cnfStyle w:val="000000000000" w:firstRow="0" w:lastRow="0" w:firstColumn="0" w:lastColumn="0" w:oddVBand="0" w:evenVBand="0" w:oddHBand="0" w:evenHBand="0" w:firstRowFirstColumn="0" w:firstRowLastColumn="0" w:lastRowFirstColumn="0" w:lastRowLastColumn="0"/>
            </w:pPr>
            <w:r w:rsidRPr="007528C7">
              <w:t>Any temperature between 30</w:t>
            </w:r>
            <w:r w:rsidR="00095A96" w:rsidRPr="00093ACB">
              <w:t>°</w:t>
            </w:r>
            <w:r w:rsidR="00095A96">
              <w:t xml:space="preserve"> </w:t>
            </w:r>
            <w:r w:rsidRPr="007528C7">
              <w:t>C and 40</w:t>
            </w:r>
            <w:r w:rsidR="00095A96" w:rsidRPr="00093ACB">
              <w:t>°</w:t>
            </w:r>
            <w:r w:rsidR="00095A96">
              <w:t xml:space="preserve"> </w:t>
            </w:r>
            <w:r w:rsidRPr="007528C7">
              <w:t>C (86</w:t>
            </w:r>
            <w:r w:rsidR="00095A96" w:rsidRPr="00093ACB">
              <w:t>°</w:t>
            </w:r>
            <w:r w:rsidR="00095A96">
              <w:t xml:space="preserve"> </w:t>
            </w:r>
            <w:r w:rsidRPr="007528C7">
              <w:t>F and 104</w:t>
            </w:r>
            <w:r w:rsidR="00095A96" w:rsidRPr="00093ACB">
              <w:t>°</w:t>
            </w:r>
            <w:r w:rsidR="00095A96">
              <w:t xml:space="preserve"> </w:t>
            </w:r>
            <w:r w:rsidRPr="007528C7">
              <w:t>F).</w:t>
            </w:r>
          </w:p>
        </w:tc>
      </w:tr>
    </w:tbl>
    <w:p w14:paraId="20C73725" w14:textId="12D35BDA" w:rsidR="00FF3B71" w:rsidRPr="00847126" w:rsidRDefault="00FF3B71" w:rsidP="00847126">
      <w:pPr>
        <w:pStyle w:val="TableFooter"/>
        <w:spacing w:before="0"/>
        <w:rPr>
          <w:sz w:val="32"/>
          <w:szCs w:val="32"/>
        </w:rPr>
      </w:pPr>
      <w:r w:rsidRPr="00AE5805">
        <w:rPr>
          <w:b/>
          <w:bCs/>
          <w:sz w:val="32"/>
          <w:szCs w:val="32"/>
        </w:rPr>
        <w:t xml:space="preserve">*Source: </w:t>
      </w:r>
      <w:r w:rsidR="00817D2B" w:rsidRPr="00AE5805">
        <w:rPr>
          <w:b/>
          <w:bCs/>
          <w:sz w:val="32"/>
          <w:szCs w:val="32"/>
        </w:rPr>
        <w:t>USP</w:t>
      </w:r>
      <w:r w:rsidRPr="00AE5805">
        <w:rPr>
          <w:b/>
          <w:bCs/>
          <w:sz w:val="32"/>
          <w:szCs w:val="32"/>
        </w:rPr>
        <w:t>– General Chapter &lt;659&gt; PACKAGING AND STORAGE REQUIREMENTS</w:t>
      </w:r>
      <w:r w:rsidR="002D3408" w:rsidRPr="00AE5805">
        <w:rPr>
          <w:b/>
          <w:bCs/>
          <w:sz w:val="32"/>
          <w:szCs w:val="32"/>
        </w:rPr>
        <w:t>:</w:t>
      </w:r>
      <w:r w:rsidR="00A82C27" w:rsidRPr="00847126">
        <w:rPr>
          <w:sz w:val="32"/>
          <w:szCs w:val="32"/>
        </w:rPr>
        <w:t xml:space="preserve"> </w:t>
      </w:r>
      <w:hyperlink r:id="rId12" w:history="1">
        <w:r w:rsidR="005E7025" w:rsidRPr="00847126">
          <w:rPr>
            <w:rStyle w:val="Hyperlink"/>
            <w:sz w:val="32"/>
            <w:szCs w:val="32"/>
          </w:rPr>
          <w:t>https://doi.org/10.31003/USPNF_M2773_06_01</w:t>
        </w:r>
      </w:hyperlink>
    </w:p>
    <w:p w14:paraId="159B5D49" w14:textId="092DEE30" w:rsidR="00FF3B71" w:rsidRPr="00847126" w:rsidRDefault="67A63411" w:rsidP="00847126">
      <w:pPr>
        <w:pStyle w:val="Note0"/>
        <w:spacing w:before="0" w:line="240" w:lineRule="auto"/>
        <w:rPr>
          <w:b/>
          <w:color w:val="000000" w:themeColor="text1"/>
          <w:sz w:val="32"/>
          <w:szCs w:val="32"/>
          <w:vertAlign w:val="superscript"/>
        </w:rPr>
      </w:pPr>
      <w:r w:rsidRPr="00847126">
        <w:rPr>
          <w:b/>
          <w:color w:val="000000" w:themeColor="text1"/>
          <w:sz w:val="32"/>
          <w:szCs w:val="32"/>
          <w:vertAlign w:val="superscript"/>
        </w:rPr>
        <w:t xml:space="preserve">NOTE: </w:t>
      </w:r>
      <w:r w:rsidR="00B01EE7" w:rsidRPr="00847126">
        <w:rPr>
          <w:b/>
          <w:bCs/>
          <w:color w:val="000000" w:themeColor="text1"/>
          <w:sz w:val="32"/>
          <w:szCs w:val="32"/>
          <w:vertAlign w:val="superscript"/>
        </w:rPr>
        <w:t>S</w:t>
      </w:r>
      <w:r w:rsidR="00744FC2" w:rsidRPr="00847126">
        <w:rPr>
          <w:b/>
          <w:bCs/>
          <w:color w:val="000000" w:themeColor="text1"/>
          <w:sz w:val="32"/>
          <w:szCs w:val="32"/>
          <w:vertAlign w:val="superscript"/>
        </w:rPr>
        <w:t>torage conditions</w:t>
      </w:r>
      <w:r w:rsidRPr="00847126">
        <w:rPr>
          <w:b/>
          <w:color w:val="000000" w:themeColor="text1"/>
          <w:sz w:val="32"/>
          <w:szCs w:val="32"/>
          <w:vertAlign w:val="superscript"/>
        </w:rPr>
        <w:t xml:space="preserve"> </w:t>
      </w:r>
      <w:r w:rsidR="725FFC8F" w:rsidRPr="00847126">
        <w:rPr>
          <w:b/>
          <w:color w:val="000000" w:themeColor="text1"/>
          <w:sz w:val="32"/>
          <w:szCs w:val="32"/>
          <w:vertAlign w:val="superscript"/>
        </w:rPr>
        <w:t xml:space="preserve">are protocol-specific and are stated in the </w:t>
      </w:r>
      <w:r w:rsidR="00847126">
        <w:rPr>
          <w:b/>
          <w:color w:val="000000" w:themeColor="text1"/>
          <w:sz w:val="32"/>
          <w:szCs w:val="32"/>
          <w:vertAlign w:val="superscript"/>
        </w:rPr>
        <w:t>P</w:t>
      </w:r>
      <w:r w:rsidR="725FFC8F" w:rsidRPr="00847126">
        <w:rPr>
          <w:b/>
          <w:color w:val="000000" w:themeColor="text1"/>
          <w:sz w:val="32"/>
          <w:szCs w:val="32"/>
          <w:vertAlign w:val="superscript"/>
        </w:rPr>
        <w:t>rotocol</w:t>
      </w:r>
      <w:r w:rsidR="00847126">
        <w:rPr>
          <w:b/>
          <w:color w:val="000000" w:themeColor="text1"/>
          <w:sz w:val="32"/>
          <w:szCs w:val="32"/>
          <w:vertAlign w:val="superscript"/>
        </w:rPr>
        <w:t>/</w:t>
      </w:r>
      <w:r w:rsidR="725FFC8F" w:rsidRPr="00847126">
        <w:rPr>
          <w:b/>
          <w:color w:val="000000" w:themeColor="text1"/>
          <w:sz w:val="32"/>
          <w:szCs w:val="32"/>
          <w:vertAlign w:val="superscript"/>
        </w:rPr>
        <w:t>Manual of Procedure (MOP).</w:t>
      </w:r>
    </w:p>
    <w:p w14:paraId="059FC1C8" w14:textId="7505ADDC" w:rsidR="00FF3B71" w:rsidRPr="00847126" w:rsidRDefault="009D05AA" w:rsidP="00847126">
      <w:pPr>
        <w:spacing w:before="0" w:line="240" w:lineRule="auto"/>
        <w:rPr>
          <w:b/>
          <w:sz w:val="32"/>
          <w:szCs w:val="32"/>
          <w:vertAlign w:val="superscript"/>
        </w:rPr>
      </w:pPr>
      <w:r w:rsidRPr="00847126">
        <w:rPr>
          <w:b/>
          <w:bCs/>
          <w:sz w:val="32"/>
          <w:szCs w:val="32"/>
          <w:vertAlign w:val="superscript"/>
        </w:rPr>
        <w:t>Direct</w:t>
      </w:r>
      <w:r w:rsidR="2CF61191" w:rsidRPr="00847126">
        <w:rPr>
          <w:b/>
          <w:sz w:val="32"/>
          <w:szCs w:val="32"/>
          <w:vertAlign w:val="superscript"/>
        </w:rPr>
        <w:t xml:space="preserve"> questions regarding the </w:t>
      </w:r>
      <w:r w:rsidR="00AA664D" w:rsidRPr="00847126">
        <w:rPr>
          <w:b/>
          <w:bCs/>
          <w:sz w:val="32"/>
          <w:szCs w:val="32"/>
          <w:vertAlign w:val="superscript"/>
        </w:rPr>
        <w:t>IP</w:t>
      </w:r>
      <w:r w:rsidR="2CF61191" w:rsidRPr="00847126">
        <w:rPr>
          <w:b/>
          <w:bCs/>
          <w:sz w:val="32"/>
          <w:szCs w:val="32"/>
          <w:vertAlign w:val="superscript"/>
        </w:rPr>
        <w:t xml:space="preserve"> </w:t>
      </w:r>
      <w:r w:rsidR="2CF61191" w:rsidRPr="00847126">
        <w:rPr>
          <w:b/>
          <w:sz w:val="32"/>
          <w:szCs w:val="32"/>
          <w:vertAlign w:val="superscript"/>
        </w:rPr>
        <w:t>storage to the DMID Product Support Team (PST).</w:t>
      </w:r>
      <w:bookmarkStart w:id="11" w:name="*Source:_2014_USP37-NF32–_General_Chapte"/>
      <w:bookmarkStart w:id="12" w:name="**Transient_spikes_up_to_40˚C_are_permit"/>
      <w:bookmarkEnd w:id="11"/>
      <w:bookmarkEnd w:id="12"/>
    </w:p>
    <w:p w14:paraId="5CD9D4E5" w14:textId="07E1E419" w:rsidR="00F60774" w:rsidRPr="00E87067" w:rsidRDefault="00F60774" w:rsidP="00E87067">
      <w:pPr>
        <w:sectPr w:rsidR="00F60774" w:rsidRPr="00E87067" w:rsidSect="00B64A62">
          <w:pgSz w:w="12240" w:h="15840" w:code="1"/>
          <w:pgMar w:top="1080" w:right="1180" w:bottom="1120" w:left="1140" w:header="576" w:footer="432" w:gutter="0"/>
          <w:cols w:space="720"/>
          <w:docGrid w:linePitch="299"/>
        </w:sectPr>
      </w:pPr>
    </w:p>
    <w:p w14:paraId="2BC93AB9" w14:textId="77777777" w:rsidR="00FF3B71" w:rsidRPr="00E87067" w:rsidRDefault="00FF3B71" w:rsidP="00B76405">
      <w:pPr>
        <w:pStyle w:val="Heading1"/>
        <w:numPr>
          <w:ilvl w:val="0"/>
          <w:numId w:val="125"/>
        </w:numPr>
      </w:pPr>
      <w:bookmarkStart w:id="13" w:name="1._Introduction"/>
      <w:bookmarkStart w:id="14" w:name="_Toc25151371"/>
      <w:bookmarkStart w:id="15" w:name="_Toc224716367"/>
      <w:bookmarkEnd w:id="13"/>
      <w:r w:rsidRPr="00E87067">
        <w:lastRenderedPageBreak/>
        <w:t>Introduction</w:t>
      </w:r>
      <w:bookmarkEnd w:id="14"/>
      <w:bookmarkEnd w:id="15"/>
    </w:p>
    <w:p w14:paraId="75A27C2F" w14:textId="7D68D059" w:rsidR="00D67D5B" w:rsidRPr="00482C43" w:rsidRDefault="00BE7AA9" w:rsidP="00580139">
      <w:pPr>
        <w:pStyle w:val="Heading3b"/>
      </w:pPr>
      <w:bookmarkStart w:id="16" w:name="1.1__Background"/>
      <w:bookmarkStart w:id="17" w:name="_Toc25151372"/>
      <w:bookmarkEnd w:id="16"/>
      <w:r w:rsidRPr="00482C43">
        <w:t>The Product Support Team (PST)</w:t>
      </w:r>
    </w:p>
    <w:p w14:paraId="0DDAB0FA" w14:textId="740C5D4C" w:rsidR="004046A4" w:rsidRPr="004B3957" w:rsidRDefault="004046A4" w:rsidP="002A7FAA">
      <w:pPr>
        <w:pStyle w:val="BodyText"/>
      </w:pPr>
      <w:r>
        <w:t xml:space="preserve">The PST is a component of the Office of Regulatory Affairs (ORA), within the </w:t>
      </w:r>
      <w:r w:rsidR="007D29D7">
        <w:t>Division of Microbiology and Infectious Diseases (</w:t>
      </w:r>
      <w:r>
        <w:t>DMID</w:t>
      </w:r>
      <w:r w:rsidR="007D29D7">
        <w:t>)</w:t>
      </w:r>
      <w:r>
        <w:t xml:space="preserve"> with specialized experience and expertise in pharmacy, </w:t>
      </w:r>
      <w:r w:rsidR="009B3AA1">
        <w:t>investigational</w:t>
      </w:r>
      <w:r>
        <w:t xml:space="preserve"> product quality control, and supply chain management</w:t>
      </w:r>
      <w:r w:rsidR="00B85135">
        <w:t>.</w:t>
      </w:r>
      <w:r w:rsidR="7231F69D">
        <w:t xml:space="preserve"> </w:t>
      </w:r>
    </w:p>
    <w:p w14:paraId="61DE8367" w14:textId="6FB139D7" w:rsidR="00FF3B71" w:rsidRPr="00992F5E" w:rsidRDefault="00B74EBC" w:rsidP="00992F5E">
      <w:pPr>
        <w:pStyle w:val="Heading3b"/>
      </w:pPr>
      <w:r w:rsidRPr="00992F5E">
        <w:t xml:space="preserve">DMID </w:t>
      </w:r>
      <w:r w:rsidR="00FF3B71" w:rsidRPr="00992F5E">
        <w:t>Background</w:t>
      </w:r>
      <w:bookmarkEnd w:id="17"/>
    </w:p>
    <w:p w14:paraId="3063E91A" w14:textId="7DB26D1A" w:rsidR="00FF3B71" w:rsidRPr="00E87067" w:rsidRDefault="00FF3B71" w:rsidP="00E87067">
      <w:bookmarkStart w:id="18" w:name="_Hlk21526608"/>
      <w:r>
        <w:t>The DMID is within the National Institute of Allergy and Infectious Diseases (NIAID) of the National Institutes of Health (NIH).</w:t>
      </w:r>
    </w:p>
    <w:p w14:paraId="03F24664" w14:textId="2B372CC0" w:rsidR="00FF3B71" w:rsidRPr="00E87067" w:rsidRDefault="00FF3B71" w:rsidP="00E87067">
      <w:r>
        <w:t xml:space="preserve">As a </w:t>
      </w:r>
      <w:r w:rsidR="084F2C0B">
        <w:t>S</w:t>
      </w:r>
      <w:r>
        <w:t>ponsor of clinical trials, the DMID must ensure that</w:t>
      </w:r>
      <w:r w:rsidR="0810C13D">
        <w:t xml:space="preserve"> clinical</w:t>
      </w:r>
      <w:r>
        <w:t xml:space="preserve"> trials supported by the DMID are being conducted in compliance with U.S. federal regulations and any other applicable local regulations. The Principal Investigator </w:t>
      </w:r>
      <w:r w:rsidR="054365A9">
        <w:t>is</w:t>
      </w:r>
      <w:r>
        <w:t xml:space="preserve"> </w:t>
      </w:r>
      <w:r w:rsidR="5A447426">
        <w:t>responsible</w:t>
      </w:r>
      <w:r>
        <w:t xml:space="preserve"> for all </w:t>
      </w:r>
      <w:r w:rsidR="3037F622">
        <w:t xml:space="preserve">activities, </w:t>
      </w:r>
      <w:r w:rsidR="004A0CD7">
        <w:t>i</w:t>
      </w:r>
      <w:r w:rsidR="3037F622">
        <w:t xml:space="preserve">ncluding day-to-day operations, performance, and compliance at the clinical research site level. </w:t>
      </w:r>
    </w:p>
    <w:p w14:paraId="008329CC" w14:textId="730CE601" w:rsidR="00FF3B71" w:rsidRPr="00E87067" w:rsidRDefault="00FF3B71" w:rsidP="00E87067">
      <w:r>
        <w:t>The P</w:t>
      </w:r>
      <w:r w:rsidR="7AA765B4">
        <w:t xml:space="preserve">rincipal </w:t>
      </w:r>
      <w:r>
        <w:t>I</w:t>
      </w:r>
      <w:r w:rsidR="7B408EA0">
        <w:t>nvestigator</w:t>
      </w:r>
      <w:r>
        <w:t xml:space="preserve"> may delegate the day-to-day responsibilities of </w:t>
      </w:r>
      <w:r w:rsidR="009B3AA1">
        <w:t>investigational</w:t>
      </w:r>
      <w:r>
        <w:t xml:space="preserve"> product management to a licensed/registered pharmacist, but the ultimate responsibility lies with the P</w:t>
      </w:r>
      <w:r w:rsidR="3A0F3852">
        <w:t xml:space="preserve">rincipal </w:t>
      </w:r>
      <w:r>
        <w:t>I</w:t>
      </w:r>
      <w:r w:rsidR="6438054D">
        <w:t>nvestigator</w:t>
      </w:r>
      <w:r>
        <w:t xml:space="preserve">. </w:t>
      </w:r>
      <w:r w:rsidR="309F2D62">
        <w:t>This</w:t>
      </w:r>
      <w:r>
        <w:t xml:space="preserve"> pharmacist</w:t>
      </w:r>
      <w:r w:rsidR="7EE08FB3">
        <w:t xml:space="preserve"> is the Research Pharmacist. The Research Pharmacist is responsible for coordinating all research pharmacy operations and performing the day-t</w:t>
      </w:r>
      <w:r w:rsidR="34547785">
        <w:t>o-day pharmacy activities related to the management of investigational product(s).</w:t>
      </w:r>
      <w:r>
        <w:t xml:space="preserve"> </w:t>
      </w:r>
    </w:p>
    <w:p w14:paraId="282FDE2E" w14:textId="76EB775A" w:rsidR="00FF3B71" w:rsidRPr="00E87067" w:rsidRDefault="0A4246A6" w:rsidP="00E87067">
      <w:r>
        <w:t xml:space="preserve">An additional licensed/registered pharmacist working at the site must be designated as the Alternate Pharmacist </w:t>
      </w:r>
      <w:r w:rsidR="007E5488">
        <w:t>to</w:t>
      </w:r>
      <w:r>
        <w:t xml:space="preserve"> assume the responsibilities of the Research Pharmacist</w:t>
      </w:r>
      <w:r w:rsidR="124E05E1">
        <w:t xml:space="preserve">, in the absence of the </w:t>
      </w:r>
      <w:r w:rsidR="007E5488">
        <w:t>Research</w:t>
      </w:r>
      <w:r w:rsidR="124E05E1">
        <w:t xml:space="preserve"> Pharmacist. For purposes of these guidelines, all references to Res</w:t>
      </w:r>
      <w:r w:rsidR="60610B63">
        <w:t xml:space="preserve">earch Pharmacist also </w:t>
      </w:r>
      <w:r w:rsidR="007E5488">
        <w:t>apply</w:t>
      </w:r>
      <w:r w:rsidR="60610B63">
        <w:t xml:space="preserve"> to the Alternate Pharmacist. </w:t>
      </w:r>
    </w:p>
    <w:p w14:paraId="635BED21" w14:textId="02A67697" w:rsidR="00FF3B71" w:rsidRPr="00E87067" w:rsidRDefault="7FE8ED1A" w:rsidP="00E87067">
      <w:r>
        <w:t>The information in these guidelines is meant to assist pharmacists in meeting the required standards of the DMID for th</w:t>
      </w:r>
      <w:r w:rsidR="323A3155">
        <w:t>e conduct of the DMID-sponsored and/or supported clinical trials.</w:t>
      </w:r>
      <w:r>
        <w:t xml:space="preserve"> </w:t>
      </w:r>
      <w:r w:rsidR="00FF3B71">
        <w:t xml:space="preserve">In addition to these guidelines, non-U.S. sites must also adhere to </w:t>
      </w:r>
      <w:r w:rsidR="7FF1A6FC">
        <w:t xml:space="preserve">their local and </w:t>
      </w:r>
      <w:r w:rsidR="00FF3B71">
        <w:t xml:space="preserve">in-country </w:t>
      </w:r>
      <w:r w:rsidR="7B284756">
        <w:t>regulations governing the practice of pharmacy</w:t>
      </w:r>
      <w:r w:rsidR="00FF3B71">
        <w:t xml:space="preserve">. If any differences exist between these guidelines and </w:t>
      </w:r>
      <w:r w:rsidR="1DCBD2C5">
        <w:t xml:space="preserve">local and </w:t>
      </w:r>
      <w:r w:rsidR="00FF3B71">
        <w:t xml:space="preserve">in-country </w:t>
      </w:r>
      <w:r w:rsidR="3A95B01D">
        <w:t>regulations</w:t>
      </w:r>
      <w:r w:rsidR="00FF3B71">
        <w:t xml:space="preserve">, the most stringent regulations must be followed. For any questions or </w:t>
      </w:r>
      <w:r w:rsidR="00164976">
        <w:t>clarifications, contact</w:t>
      </w:r>
      <w:r w:rsidR="00FF3B71">
        <w:t xml:space="preserve"> the PST</w:t>
      </w:r>
      <w:r w:rsidR="4C288F5A">
        <w:t xml:space="preserve"> at email: </w:t>
      </w:r>
      <w:hyperlink r:id="rId13" w:history="1">
        <w:r w:rsidR="008B11B0" w:rsidRPr="00D70AC3">
          <w:rPr>
            <w:rStyle w:val="Hyperlink"/>
          </w:rPr>
          <w:t>DMIDProductSupportTeam@niaid.nih.gov</w:t>
        </w:r>
      </w:hyperlink>
      <w:r w:rsidR="4C288F5A">
        <w:t>.</w:t>
      </w:r>
      <w:bookmarkEnd w:id="18"/>
    </w:p>
    <w:p w14:paraId="4A725919" w14:textId="77777777" w:rsidR="00FF3B71" w:rsidRPr="001357AE" w:rsidRDefault="00FF3B71" w:rsidP="007528C7">
      <w:pPr>
        <w:pStyle w:val="Heading3b"/>
      </w:pPr>
      <w:bookmarkStart w:id="19" w:name="1.2_Scope_and_Objectives"/>
      <w:bookmarkStart w:id="20" w:name="_Hlk21526670"/>
      <w:bookmarkStart w:id="21" w:name="_Toc25151373"/>
      <w:bookmarkEnd w:id="19"/>
      <w:r w:rsidRPr="001357AE">
        <w:t>Scope and Objectives</w:t>
      </w:r>
      <w:bookmarkEnd w:id="20"/>
      <w:bookmarkEnd w:id="21"/>
    </w:p>
    <w:p w14:paraId="1FD0FC76" w14:textId="5A4B8800" w:rsidR="00FF3B71" w:rsidRPr="00E87067" w:rsidRDefault="00FF3B71" w:rsidP="00E87067">
      <w:bookmarkStart w:id="22" w:name="_Hlk21526699"/>
      <w:r>
        <w:t>The purpose of this document is to outline</w:t>
      </w:r>
      <w:r w:rsidR="004477B2">
        <w:t xml:space="preserve"> the</w:t>
      </w:r>
      <w:r>
        <w:t xml:space="preserve"> DMID guidelines related to the appropriate management and handling of </w:t>
      </w:r>
      <w:r w:rsidR="009B3AA1">
        <w:t>investigational</w:t>
      </w:r>
      <w:r>
        <w:t xml:space="preserve"> products (see definition for </w:t>
      </w:r>
      <w:r w:rsidR="009B3AA1">
        <w:t>investigational</w:t>
      </w:r>
      <w:r>
        <w:t xml:space="preserve"> product) at the clinical research sites </w:t>
      </w:r>
      <w:r w:rsidR="00B217A4">
        <w:t>to</w:t>
      </w:r>
      <w:r>
        <w:t xml:space="preserve"> comply with applicable regulations and international research standards. These guidelines apply to clinical trials supported by the DMID, regardless of funding mechanism or clinical research site location.</w:t>
      </w:r>
    </w:p>
    <w:p w14:paraId="2F71EF51" w14:textId="5518BC09" w:rsidR="00FF3B71" w:rsidRPr="00E87067" w:rsidRDefault="00FF3B71" w:rsidP="00E87067">
      <w:r w:rsidRPr="00E87067">
        <w:t>The guidelines described in this document are not all inclusive. If there are more specific instructions relating to a</w:t>
      </w:r>
      <w:r w:rsidR="00B90577">
        <w:t>n</w:t>
      </w:r>
      <w:r w:rsidRPr="00E87067">
        <w:t xml:space="preserve"> </w:t>
      </w:r>
      <w:r w:rsidR="009B3AA1">
        <w:t>investigational</w:t>
      </w:r>
      <w:r w:rsidRPr="00E87067">
        <w:t xml:space="preserve"> product, the </w:t>
      </w:r>
      <w:r w:rsidR="009B3AA1">
        <w:t>investigational</w:t>
      </w:r>
      <w:r w:rsidRPr="00E87067">
        <w:t xml:space="preserve"> team should ensure instructions are included either in the protocol, MOP, Investigator’s Brochure (IB)/package insert, and/or any other relevant </w:t>
      </w:r>
      <w:r w:rsidR="009B3AA1">
        <w:t>investigational</w:t>
      </w:r>
      <w:r w:rsidRPr="00E87067">
        <w:t xml:space="preserve"> specific standard operating procedures (SOPs). In addition, certain protocols may include </w:t>
      </w:r>
      <w:r w:rsidR="009B3AA1">
        <w:t>investigational</w:t>
      </w:r>
      <w:r w:rsidRPr="00E87067">
        <w:t xml:space="preserve"> </w:t>
      </w:r>
      <w:r w:rsidR="005309E5" w:rsidRPr="00E87067">
        <w:t>products</w:t>
      </w:r>
      <w:r w:rsidRPr="00E87067">
        <w:t xml:space="preserve"> that, due to the nature of the product or unique management and handling requirements, may fall outside of the general guidance as described in this document (e.g., </w:t>
      </w:r>
      <w:r w:rsidRPr="00E87067">
        <w:lastRenderedPageBreak/>
        <w:t>investigational devices or challenge material). Additional information for the management of these products should be provided in protocol-specific documents.</w:t>
      </w:r>
    </w:p>
    <w:p w14:paraId="40F6D5F6" w14:textId="5DEBE68D" w:rsidR="00FF3B71" w:rsidRPr="00E87067" w:rsidRDefault="00FF3B71" w:rsidP="00E87067">
      <w:r w:rsidRPr="00E87067">
        <w:t>Unless otherwise stated within the protocol, MOP, or any other protocol-specific material, the scope of this document does not extend to therapies or treatments administered as part of standard-of-care or to those used for the management of a</w:t>
      </w:r>
      <w:r w:rsidR="00B90577">
        <w:t>n</w:t>
      </w:r>
      <w:r w:rsidRPr="00E87067">
        <w:t xml:space="preserve"> </w:t>
      </w:r>
      <w:r w:rsidR="009B3AA1">
        <w:t>investigational</w:t>
      </w:r>
      <w:r w:rsidRPr="00E87067">
        <w:t xml:space="preserve">-related intervention (e.g., rescue therapy, challenge </w:t>
      </w:r>
      <w:r w:rsidR="009B3AA1">
        <w:t>investigational</w:t>
      </w:r>
      <w:r w:rsidRPr="00E87067">
        <w:t xml:space="preserve"> treatment management, toxicity management).</w:t>
      </w:r>
      <w:bookmarkEnd w:id="22"/>
    </w:p>
    <w:p w14:paraId="587B088C" w14:textId="1C690E57" w:rsidR="00FF3B71" w:rsidRPr="00E87067" w:rsidRDefault="04F68EB7" w:rsidP="007528C7">
      <w:pPr>
        <w:pStyle w:val="Heading3b"/>
      </w:pPr>
      <w:bookmarkStart w:id="23" w:name="_Toc22044449"/>
      <w:bookmarkStart w:id="24" w:name="_Toc22044533"/>
      <w:bookmarkStart w:id="25" w:name="_Toc25150768"/>
      <w:bookmarkStart w:id="26" w:name="_Toc25151374"/>
      <w:bookmarkStart w:id="27" w:name="1.3_Resources"/>
      <w:bookmarkStart w:id="28" w:name="_Toc25151375"/>
      <w:bookmarkEnd w:id="23"/>
      <w:bookmarkEnd w:id="24"/>
      <w:bookmarkEnd w:id="25"/>
      <w:bookmarkEnd w:id="26"/>
      <w:bookmarkEnd w:id="27"/>
      <w:r>
        <w:t xml:space="preserve"> Contact Information</w:t>
      </w:r>
      <w:bookmarkEnd w:id="28"/>
    </w:p>
    <w:p w14:paraId="0303B5F5" w14:textId="20541148" w:rsidR="00FF3B71" w:rsidRPr="00E87067" w:rsidRDefault="00FF3B71" w:rsidP="007528C7">
      <w:pPr>
        <w:pStyle w:val="ListStyle3"/>
        <w:rPr>
          <w:color w:val="000000" w:themeColor="text1"/>
        </w:rPr>
      </w:pPr>
      <w:bookmarkStart w:id="29" w:name="1.3.1_Contacts"/>
      <w:bookmarkStart w:id="30" w:name="_Toc25151376"/>
      <w:bookmarkEnd w:id="29"/>
      <w:r>
        <w:t>Contacts</w:t>
      </w:r>
      <w:bookmarkEnd w:id="30"/>
    </w:p>
    <w:p w14:paraId="40683C57" w14:textId="7190553C" w:rsidR="00FF3B71" w:rsidRPr="00E87067" w:rsidRDefault="00FF3B71" w:rsidP="002569D0">
      <w:pPr>
        <w:pStyle w:val="ListParagraph"/>
        <w:numPr>
          <w:ilvl w:val="0"/>
          <w:numId w:val="103"/>
        </w:numPr>
      </w:pPr>
      <w:bookmarkStart w:id="31" w:name="_Toc25151377"/>
      <w:bookmarkStart w:id="32" w:name="_Hlk21535977"/>
      <w:r>
        <w:t>Division of Microbiology and Infectious Diseases (DMID) Office of Regulatory Affairs, Product Support Team</w:t>
      </w:r>
      <w:bookmarkEnd w:id="31"/>
      <w:r>
        <w:t xml:space="preserve"> </w:t>
      </w:r>
    </w:p>
    <w:tbl>
      <w:tblPr>
        <w:tblStyle w:val="TableGrid"/>
        <w:tblW w:w="0" w:type="auto"/>
        <w:tblInd w:w="1435" w:type="dxa"/>
        <w:tblLayout w:type="fixed"/>
        <w:tblCellMar>
          <w:top w:w="72" w:type="dxa"/>
          <w:bottom w:w="72" w:type="dxa"/>
        </w:tblCellMar>
        <w:tblLook w:val="04A0" w:firstRow="1" w:lastRow="0" w:firstColumn="1" w:lastColumn="0" w:noHBand="0" w:noVBand="1"/>
      </w:tblPr>
      <w:tblGrid>
        <w:gridCol w:w="2610"/>
        <w:gridCol w:w="5865"/>
      </w:tblGrid>
      <w:tr w:rsidR="00FF3B71" w:rsidRPr="00E87067" w14:paraId="7C416142" w14:textId="77777777" w:rsidTr="00123861">
        <w:tc>
          <w:tcPr>
            <w:tcW w:w="2610" w:type="dxa"/>
            <w:vAlign w:val="center"/>
          </w:tcPr>
          <w:p w14:paraId="6340A923" w14:textId="32AB478D" w:rsidR="00FF3B71" w:rsidRPr="00123861" w:rsidRDefault="00FF3B71" w:rsidP="00123861">
            <w:pPr>
              <w:spacing w:before="0"/>
              <w:rPr>
                <w:b/>
                <w:bCs/>
              </w:rPr>
            </w:pPr>
            <w:r w:rsidRPr="00123861">
              <w:rPr>
                <w:b/>
                <w:bCs/>
              </w:rPr>
              <w:t xml:space="preserve">Product Support Team </w:t>
            </w:r>
          </w:p>
          <w:p w14:paraId="7E1422FE" w14:textId="4E5D58A6" w:rsidR="00FF3B71" w:rsidRPr="00E87067" w:rsidRDefault="00FF3B71" w:rsidP="00123861">
            <w:pPr>
              <w:spacing w:before="0"/>
            </w:pPr>
            <w:r w:rsidRPr="00123861">
              <w:rPr>
                <w:b/>
                <w:bCs/>
              </w:rPr>
              <w:t>U.S. Postal Mail Address and Courier Services</w:t>
            </w:r>
            <w:r>
              <w:t xml:space="preserve"> </w:t>
            </w:r>
          </w:p>
        </w:tc>
        <w:tc>
          <w:tcPr>
            <w:tcW w:w="5865" w:type="dxa"/>
            <w:vAlign w:val="center"/>
          </w:tcPr>
          <w:p w14:paraId="658F7171" w14:textId="77777777" w:rsidR="00FF3B71" w:rsidRPr="00E87067" w:rsidRDefault="00FF3B71" w:rsidP="00123861">
            <w:pPr>
              <w:spacing w:before="0"/>
            </w:pPr>
            <w:r w:rsidRPr="00E87067">
              <w:t>DMID Product Support Team (PST)</w:t>
            </w:r>
          </w:p>
          <w:p w14:paraId="4AFFEFF7" w14:textId="77777777" w:rsidR="00FF3B71" w:rsidRPr="00E87067" w:rsidRDefault="00FF3B71" w:rsidP="00123861">
            <w:pPr>
              <w:spacing w:before="0"/>
            </w:pPr>
            <w:r w:rsidRPr="00E87067">
              <w:t xml:space="preserve">Office of Regulatory Affairs </w:t>
            </w:r>
          </w:p>
          <w:p w14:paraId="57A5B07E" w14:textId="77777777" w:rsidR="00FF3B71" w:rsidRPr="00E87067" w:rsidRDefault="00FF3B71" w:rsidP="00123861">
            <w:pPr>
              <w:spacing w:before="0"/>
            </w:pPr>
            <w:r w:rsidRPr="00E87067">
              <w:t>DMID, NIAID</w:t>
            </w:r>
          </w:p>
          <w:p w14:paraId="0A70C2D8" w14:textId="77777777" w:rsidR="00FF3B71" w:rsidRPr="00E87067" w:rsidRDefault="00FF3B71" w:rsidP="00123861">
            <w:pPr>
              <w:spacing w:before="0"/>
            </w:pPr>
            <w:r w:rsidRPr="00E87067">
              <w:t>5601 Fishers Lane</w:t>
            </w:r>
          </w:p>
          <w:p w14:paraId="22EF8F9E" w14:textId="77777777" w:rsidR="00FF3B71" w:rsidRPr="00E87067" w:rsidRDefault="00FF3B71" w:rsidP="00123861">
            <w:pPr>
              <w:spacing w:before="0"/>
            </w:pPr>
            <w:r w:rsidRPr="00E87067">
              <w:t>Bethesda, Maryland 20892-9826</w:t>
            </w:r>
          </w:p>
          <w:p w14:paraId="5B656E3F" w14:textId="77777777" w:rsidR="00FF3B71" w:rsidRPr="00E87067" w:rsidRDefault="00FF3B71" w:rsidP="00123861">
            <w:pPr>
              <w:spacing w:before="0"/>
            </w:pPr>
            <w:r w:rsidRPr="00E87067">
              <w:t>(Courier Zip Code: Rockville, Maryland 20852)</w:t>
            </w:r>
          </w:p>
          <w:p w14:paraId="5D435C86" w14:textId="77777777" w:rsidR="00FF3B71" w:rsidRPr="00E87067" w:rsidRDefault="00FF3B71" w:rsidP="00123861">
            <w:pPr>
              <w:spacing w:before="0"/>
            </w:pPr>
            <w:r w:rsidRPr="00E87067">
              <w:t>U.S.A.</w:t>
            </w:r>
          </w:p>
        </w:tc>
      </w:tr>
      <w:tr w:rsidR="00FF3B71" w:rsidRPr="00E87067" w14:paraId="3371CD57" w14:textId="77777777" w:rsidTr="00123861">
        <w:tc>
          <w:tcPr>
            <w:tcW w:w="2610" w:type="dxa"/>
            <w:vAlign w:val="center"/>
          </w:tcPr>
          <w:p w14:paraId="3CC94F5C" w14:textId="77777777" w:rsidR="00FF3B71" w:rsidRPr="00123861" w:rsidRDefault="00FF3B71" w:rsidP="00123861">
            <w:pPr>
              <w:spacing w:before="0"/>
              <w:rPr>
                <w:b/>
                <w:bCs/>
              </w:rPr>
            </w:pPr>
            <w:r w:rsidRPr="00123861">
              <w:rPr>
                <w:b/>
                <w:bCs/>
              </w:rPr>
              <w:t>Email address:</w:t>
            </w:r>
          </w:p>
        </w:tc>
        <w:tc>
          <w:tcPr>
            <w:tcW w:w="5865" w:type="dxa"/>
            <w:vAlign w:val="center"/>
          </w:tcPr>
          <w:p w14:paraId="11F65D9B" w14:textId="4AB889C8" w:rsidR="00FF3B71" w:rsidRPr="00E87067" w:rsidRDefault="00FF3B71" w:rsidP="00123861">
            <w:pPr>
              <w:spacing w:before="0"/>
            </w:pPr>
            <w:r w:rsidRPr="00E87067">
              <w:t>DMIDProductSupportTeam@niaid.nih.gov</w:t>
            </w:r>
          </w:p>
        </w:tc>
      </w:tr>
      <w:bookmarkEnd w:id="32"/>
    </w:tbl>
    <w:p w14:paraId="2FDF47C4" w14:textId="77777777" w:rsidR="00FF3B71" w:rsidRPr="00E87067" w:rsidRDefault="00FF3B71" w:rsidP="00E87067"/>
    <w:p w14:paraId="23D0F6C8" w14:textId="77777777" w:rsidR="00FF3B71" w:rsidRPr="00E87067" w:rsidRDefault="00FF3B71" w:rsidP="002569D0">
      <w:pPr>
        <w:pStyle w:val="ListParagraph"/>
        <w:numPr>
          <w:ilvl w:val="0"/>
          <w:numId w:val="103"/>
        </w:numPr>
      </w:pPr>
      <w:bookmarkStart w:id="33" w:name="_Toc25151378"/>
      <w:r w:rsidRPr="00E87067">
        <w:t>Clinical Materials Services (CMS)</w:t>
      </w:r>
      <w:bookmarkEnd w:id="33"/>
    </w:p>
    <w:p w14:paraId="22982290" w14:textId="147A152C" w:rsidR="00FF3B71" w:rsidRPr="00E87067" w:rsidRDefault="00FF3B71" w:rsidP="005A5504">
      <w:pPr>
        <w:ind w:left="1440"/>
      </w:pPr>
      <w:r>
        <w:t xml:space="preserve">The CMS was established to support the DMID.  As a contract of the DMID, the CMS’s primary role is the storage and distribution of clinical </w:t>
      </w:r>
      <w:r w:rsidR="009B3AA1">
        <w:t>investigational</w:t>
      </w:r>
      <w:r>
        <w:t xml:space="preserve"> products and supplies. </w:t>
      </w:r>
    </w:p>
    <w:tbl>
      <w:tblPr>
        <w:tblStyle w:val="TableGrid"/>
        <w:tblW w:w="0" w:type="auto"/>
        <w:tblInd w:w="1435" w:type="dxa"/>
        <w:tblCellMar>
          <w:top w:w="72" w:type="dxa"/>
          <w:bottom w:w="72" w:type="dxa"/>
        </w:tblCellMar>
        <w:tblLook w:val="04A0" w:firstRow="1" w:lastRow="0" w:firstColumn="1" w:lastColumn="0" w:noHBand="0" w:noVBand="1"/>
      </w:tblPr>
      <w:tblGrid>
        <w:gridCol w:w="3060"/>
        <w:gridCol w:w="5415"/>
      </w:tblGrid>
      <w:tr w:rsidR="41272327" w14:paraId="4021453B" w14:textId="77777777" w:rsidTr="00123861">
        <w:trPr>
          <w:trHeight w:val="300"/>
        </w:trPr>
        <w:tc>
          <w:tcPr>
            <w:tcW w:w="3060" w:type="dxa"/>
            <w:vAlign w:val="center"/>
          </w:tcPr>
          <w:p w14:paraId="2250D0CD" w14:textId="2A1CF57B" w:rsidR="41272327" w:rsidRPr="00123861" w:rsidRDefault="41272327" w:rsidP="00123861">
            <w:pPr>
              <w:pStyle w:val="Header"/>
              <w:widowControl/>
              <w:tabs>
                <w:tab w:val="clear" w:pos="4680"/>
                <w:tab w:val="clear" w:pos="9360"/>
              </w:tabs>
              <w:spacing w:before="0"/>
              <w:rPr>
                <w:rFonts w:eastAsiaTheme="minorEastAsia" w:cstheme="minorBidi"/>
                <w:b/>
                <w:bCs/>
                <w:lang w:bidi="ar-SA"/>
              </w:rPr>
            </w:pPr>
            <w:r w:rsidRPr="00123861">
              <w:rPr>
                <w:rFonts w:eastAsiaTheme="minorEastAsia" w:cstheme="minorBidi"/>
                <w:b/>
                <w:bCs/>
                <w:lang w:bidi="ar-SA"/>
              </w:rPr>
              <w:t xml:space="preserve">CMS </w:t>
            </w:r>
          </w:p>
          <w:p w14:paraId="508B0E33" w14:textId="35C3B1A5" w:rsidR="41272327" w:rsidRDefault="41272327" w:rsidP="00123861">
            <w:pPr>
              <w:pStyle w:val="Header"/>
              <w:widowControl/>
              <w:tabs>
                <w:tab w:val="clear" w:pos="4680"/>
                <w:tab w:val="clear" w:pos="9360"/>
              </w:tabs>
              <w:spacing w:before="0"/>
              <w:rPr>
                <w:rFonts w:eastAsiaTheme="minorEastAsia" w:cstheme="minorBidi"/>
                <w:lang w:bidi="ar-SA"/>
              </w:rPr>
            </w:pPr>
            <w:r w:rsidRPr="00123861">
              <w:rPr>
                <w:rFonts w:eastAsiaTheme="minorEastAsia" w:cstheme="minorBidi"/>
                <w:b/>
                <w:bCs/>
                <w:lang w:bidi="ar-SA"/>
              </w:rPr>
              <w:t>U.S. Postal Mail Address and Courier Service Address</w:t>
            </w:r>
          </w:p>
        </w:tc>
        <w:tc>
          <w:tcPr>
            <w:tcW w:w="5415" w:type="dxa"/>
            <w:vAlign w:val="center"/>
          </w:tcPr>
          <w:p w14:paraId="012E4C9F" w14:textId="49B3F282" w:rsidR="41272327" w:rsidRDefault="41272327" w:rsidP="00123861">
            <w:pPr>
              <w:spacing w:before="0"/>
            </w:pPr>
            <w:r>
              <w:t>Clinical Materials Services (CMS)</w:t>
            </w:r>
          </w:p>
          <w:p w14:paraId="5E117C03" w14:textId="77777777" w:rsidR="41272327" w:rsidRDefault="41272327" w:rsidP="00123861">
            <w:pPr>
              <w:spacing w:before="0"/>
            </w:pPr>
            <w:r>
              <w:t>Fisher BioServices</w:t>
            </w:r>
          </w:p>
          <w:p w14:paraId="00832D65" w14:textId="77777777" w:rsidR="41272327" w:rsidRDefault="41272327" w:rsidP="00123861">
            <w:pPr>
              <w:spacing w:before="0"/>
            </w:pPr>
            <w:r>
              <w:t>20439 Seneca Meadows Parkway</w:t>
            </w:r>
          </w:p>
          <w:p w14:paraId="76ED9287" w14:textId="77777777" w:rsidR="41272327" w:rsidRDefault="41272327" w:rsidP="00123861">
            <w:pPr>
              <w:spacing w:before="0"/>
            </w:pPr>
            <w:r>
              <w:t>Germantown, Maryland 20876</w:t>
            </w:r>
          </w:p>
          <w:p w14:paraId="6A7B666C" w14:textId="77777777" w:rsidR="41272327" w:rsidRDefault="41272327" w:rsidP="00123861">
            <w:pPr>
              <w:spacing w:before="0"/>
            </w:pPr>
            <w:r>
              <w:t>U.S.A.</w:t>
            </w:r>
          </w:p>
        </w:tc>
      </w:tr>
      <w:tr w:rsidR="41272327" w14:paraId="63A73D81" w14:textId="77777777" w:rsidTr="00123861">
        <w:trPr>
          <w:trHeight w:val="300"/>
        </w:trPr>
        <w:tc>
          <w:tcPr>
            <w:tcW w:w="3060" w:type="dxa"/>
            <w:vAlign w:val="center"/>
          </w:tcPr>
          <w:p w14:paraId="47F5202C" w14:textId="77777777" w:rsidR="41272327" w:rsidRPr="00123861" w:rsidRDefault="41272327" w:rsidP="00123861">
            <w:pPr>
              <w:spacing w:before="0"/>
              <w:rPr>
                <w:b/>
                <w:bCs/>
              </w:rPr>
            </w:pPr>
            <w:r w:rsidRPr="00123861">
              <w:rPr>
                <w:b/>
                <w:bCs/>
              </w:rPr>
              <w:t>Telephone Number:</w:t>
            </w:r>
          </w:p>
        </w:tc>
        <w:tc>
          <w:tcPr>
            <w:tcW w:w="5415" w:type="dxa"/>
            <w:vAlign w:val="center"/>
          </w:tcPr>
          <w:p w14:paraId="357F2760" w14:textId="0DA497CD" w:rsidR="41272327" w:rsidRDefault="41272327" w:rsidP="00123861">
            <w:pPr>
              <w:spacing w:before="0"/>
            </w:pPr>
            <w:r>
              <w:t>+1-240-477-1350</w:t>
            </w:r>
          </w:p>
        </w:tc>
      </w:tr>
      <w:tr w:rsidR="41272327" w14:paraId="64BC538D" w14:textId="77777777" w:rsidTr="00123861">
        <w:trPr>
          <w:trHeight w:val="300"/>
        </w:trPr>
        <w:tc>
          <w:tcPr>
            <w:tcW w:w="3060" w:type="dxa"/>
            <w:vAlign w:val="center"/>
          </w:tcPr>
          <w:p w14:paraId="5F030693" w14:textId="77777777" w:rsidR="41272327" w:rsidRPr="00123861" w:rsidRDefault="41272327" w:rsidP="00123861">
            <w:pPr>
              <w:spacing w:before="0"/>
              <w:rPr>
                <w:b/>
                <w:bCs/>
              </w:rPr>
            </w:pPr>
            <w:r w:rsidRPr="00123861">
              <w:rPr>
                <w:b/>
                <w:bCs/>
              </w:rPr>
              <w:t>Fax Number:</w:t>
            </w:r>
          </w:p>
        </w:tc>
        <w:tc>
          <w:tcPr>
            <w:tcW w:w="5415" w:type="dxa"/>
            <w:vAlign w:val="center"/>
          </w:tcPr>
          <w:p w14:paraId="040E0459" w14:textId="3E6722FF" w:rsidR="41272327" w:rsidRDefault="41272327" w:rsidP="00123861">
            <w:pPr>
              <w:spacing w:before="0"/>
            </w:pPr>
            <w:r>
              <w:t>+1-240-477-1360</w:t>
            </w:r>
          </w:p>
        </w:tc>
      </w:tr>
      <w:tr w:rsidR="41272327" w14:paraId="6D53D69C" w14:textId="77777777" w:rsidTr="00123861">
        <w:trPr>
          <w:trHeight w:val="300"/>
        </w:trPr>
        <w:tc>
          <w:tcPr>
            <w:tcW w:w="3060" w:type="dxa"/>
            <w:vAlign w:val="center"/>
          </w:tcPr>
          <w:p w14:paraId="5FA24B2F" w14:textId="77777777" w:rsidR="41272327" w:rsidRPr="00123861" w:rsidRDefault="41272327" w:rsidP="00123861">
            <w:pPr>
              <w:spacing w:before="0"/>
              <w:rPr>
                <w:b/>
                <w:bCs/>
              </w:rPr>
            </w:pPr>
            <w:r w:rsidRPr="00123861">
              <w:rPr>
                <w:b/>
                <w:bCs/>
              </w:rPr>
              <w:t>Email address:</w:t>
            </w:r>
          </w:p>
        </w:tc>
        <w:tc>
          <w:tcPr>
            <w:tcW w:w="5415" w:type="dxa"/>
            <w:vAlign w:val="center"/>
          </w:tcPr>
          <w:p w14:paraId="13488AF0" w14:textId="77777777" w:rsidR="41272327" w:rsidRDefault="41272327" w:rsidP="00123861">
            <w:pPr>
              <w:spacing w:before="0"/>
            </w:pPr>
            <w:r>
              <w:t>DMID.CMS.@ThermoFisher.com</w:t>
            </w:r>
          </w:p>
        </w:tc>
      </w:tr>
    </w:tbl>
    <w:p w14:paraId="5B3F3318" w14:textId="2AB0B797" w:rsidR="066E5B9D" w:rsidRPr="007528C7" w:rsidRDefault="066E5B9D" w:rsidP="008F66B8">
      <w:pPr>
        <w:spacing w:after="0" w:line="240" w:lineRule="auto"/>
        <w:ind w:left="1440"/>
        <w:rPr>
          <w:b/>
        </w:rPr>
      </w:pPr>
      <w:r w:rsidRPr="007528C7">
        <w:rPr>
          <w:b/>
        </w:rPr>
        <w:t>Hours of Operation</w:t>
      </w:r>
    </w:p>
    <w:p w14:paraId="740CA577" w14:textId="4EBF59A7" w:rsidR="00A43A4C" w:rsidRDefault="00FF3B71" w:rsidP="00001427">
      <w:pPr>
        <w:ind w:left="1440"/>
      </w:pPr>
      <w:r>
        <w:t>The CMS hours of operation are 8:30 AM - 5:00 PM, U.S. Eastern Standard Time</w:t>
      </w:r>
      <w:r w:rsidR="3977DD8F">
        <w:t xml:space="preserve"> (EST)</w:t>
      </w:r>
      <w:r>
        <w:t>, Monday-Friday.  The CMS is closed on weekends and all U.S. Federal holidays; therefore, shipments are not scheduled for delivery or to be picked up on these days.</w:t>
      </w:r>
    </w:p>
    <w:p w14:paraId="3D534054" w14:textId="784B190B" w:rsidR="00FF3B71" w:rsidRPr="007528C7" w:rsidRDefault="3FA3D862" w:rsidP="005A5504">
      <w:pPr>
        <w:ind w:left="1440"/>
        <w:rPr>
          <w:b/>
        </w:rPr>
      </w:pPr>
      <w:r w:rsidRPr="007528C7">
        <w:rPr>
          <w:b/>
        </w:rPr>
        <w:t>Shipments</w:t>
      </w:r>
      <w:r w:rsidR="00FF3B71" w:rsidRPr="007528C7">
        <w:rPr>
          <w:b/>
        </w:rPr>
        <w:t xml:space="preserve"> </w:t>
      </w:r>
    </w:p>
    <w:p w14:paraId="4172A1DD" w14:textId="25C5C56E" w:rsidR="00FF3B71" w:rsidRPr="00E87067" w:rsidRDefault="00FF3B71" w:rsidP="005A5504">
      <w:pPr>
        <w:ind w:left="1440"/>
      </w:pPr>
      <w:r>
        <w:lastRenderedPageBreak/>
        <w:t xml:space="preserve">The CMS staff processes </w:t>
      </w:r>
      <w:r w:rsidR="009B3AA1">
        <w:t>investigational</w:t>
      </w:r>
      <w:r>
        <w:t xml:space="preserve"> product order requests for shipment after they are approved by the CPM/designee and then authorized by the PST. </w:t>
      </w:r>
    </w:p>
    <w:p w14:paraId="65B873EC" w14:textId="2DD10D49" w:rsidR="00FF3B71" w:rsidRPr="008F66B8" w:rsidRDefault="00FF3B71" w:rsidP="41272327">
      <w:pPr>
        <w:ind w:left="1440"/>
        <w:rPr>
          <w:highlight w:val="yellow"/>
        </w:rPr>
      </w:pPr>
      <w:r>
        <w:t xml:space="preserve">For U.S. domestic sites, the CMS ships orders to arrive the next </w:t>
      </w:r>
      <w:r w:rsidR="40438910">
        <w:t xml:space="preserve">business </w:t>
      </w:r>
      <w:r>
        <w:t xml:space="preserve">day.  Shipments from the CMS are sent out Monday-Wednesday.  </w:t>
      </w:r>
      <w:r w:rsidRPr="005340C6">
        <w:t xml:space="preserve">Thursday shipments sent for Friday delivery and Friday shipments sent for Monday delivery may be done but only with </w:t>
      </w:r>
      <w:r w:rsidR="00B16158" w:rsidRPr="005340C6">
        <w:t xml:space="preserve">the </w:t>
      </w:r>
      <w:r w:rsidRPr="005340C6">
        <w:t>PST approval.  Same</w:t>
      </w:r>
      <w:r w:rsidR="00304831" w:rsidRPr="005340C6">
        <w:t xml:space="preserve"> </w:t>
      </w:r>
      <w:r w:rsidRPr="005340C6">
        <w:t>day shipments may be made where geographically possible with approval by the PST.</w:t>
      </w:r>
    </w:p>
    <w:p w14:paraId="7044205D" w14:textId="074A3CFA" w:rsidR="00FF3B71" w:rsidRPr="00E87067" w:rsidRDefault="00FF3B71" w:rsidP="41272327">
      <w:pPr>
        <w:ind w:left="1440"/>
      </w:pPr>
      <w:r>
        <w:t xml:space="preserve">For </w:t>
      </w:r>
      <w:r w:rsidR="00B217A4">
        <w:t>non-U.S.</w:t>
      </w:r>
      <w:r>
        <w:t xml:space="preserve"> sites, due to the time zone differences, it may take up two business days for the Research Pharmacist to receive an acknowledgement of receipt of the </w:t>
      </w:r>
      <w:r w:rsidR="009B3AA1">
        <w:t>investigational</w:t>
      </w:r>
      <w:r>
        <w:t xml:space="preserve"> product order request.  The CMS coordinates shipments with a courier service and the Research Pharmacist to ensure that the </w:t>
      </w:r>
      <w:r w:rsidR="009B3AA1">
        <w:t>investigational</w:t>
      </w:r>
      <w:r>
        <w:t xml:space="preserve"> product orders arrive in the shortest period possible, on a day when pharmacy staff are present.</w:t>
      </w:r>
    </w:p>
    <w:p w14:paraId="41322BC6" w14:textId="0F11BF2C" w:rsidR="0542309E" w:rsidRPr="00B76405" w:rsidRDefault="0542309E" w:rsidP="00B76405">
      <w:pPr>
        <w:ind w:left="1440"/>
        <w:rPr>
          <w:b/>
          <w:bCs/>
        </w:rPr>
      </w:pPr>
      <w:bookmarkStart w:id="34" w:name="_Hlk22733991"/>
      <w:r w:rsidRPr="00B76405">
        <w:rPr>
          <w:b/>
          <w:bCs/>
        </w:rPr>
        <w:t>Order-</w:t>
      </w:r>
      <w:r w:rsidR="00C52AB0">
        <w:rPr>
          <w:b/>
          <w:bCs/>
        </w:rPr>
        <w:t>It</w:t>
      </w:r>
    </w:p>
    <w:p w14:paraId="25C7F01A" w14:textId="36DFB667" w:rsidR="0542309E" w:rsidRPr="00A035F1" w:rsidRDefault="0542309E" w:rsidP="00A035F1">
      <w:pPr>
        <w:spacing w:line="257" w:lineRule="auto"/>
        <w:ind w:left="1440"/>
        <w:rPr>
          <w:rFonts w:eastAsia="Times New Roman" w:cs="Times New Roman"/>
          <w:szCs w:val="24"/>
        </w:rPr>
      </w:pPr>
      <w:r w:rsidRPr="41272327">
        <w:rPr>
          <w:rFonts w:eastAsia="Times New Roman" w:cs="Times New Roman"/>
          <w:szCs w:val="24"/>
        </w:rPr>
        <w:t>Order-</w:t>
      </w:r>
      <w:r w:rsidR="00C52AB0">
        <w:rPr>
          <w:rFonts w:eastAsia="Times New Roman" w:cs="Times New Roman"/>
          <w:szCs w:val="24"/>
        </w:rPr>
        <w:t>I</w:t>
      </w:r>
      <w:r w:rsidRPr="41272327">
        <w:rPr>
          <w:rFonts w:eastAsia="Times New Roman" w:cs="Times New Roman"/>
          <w:szCs w:val="24"/>
        </w:rPr>
        <w:t xml:space="preserve">t is a web-based ordering application system used for the management of investigational </w:t>
      </w:r>
      <w:r w:rsidR="00304831" w:rsidRPr="41272327">
        <w:rPr>
          <w:rFonts w:eastAsia="Times New Roman" w:cs="Times New Roman"/>
          <w:szCs w:val="24"/>
        </w:rPr>
        <w:t>products</w:t>
      </w:r>
      <w:r w:rsidRPr="41272327">
        <w:rPr>
          <w:rFonts w:eastAsia="Times New Roman" w:cs="Times New Roman"/>
          <w:szCs w:val="24"/>
        </w:rPr>
        <w:t xml:space="preserve"> for</w:t>
      </w:r>
      <w:r w:rsidR="00D46C46">
        <w:rPr>
          <w:rFonts w:eastAsia="Times New Roman" w:cs="Times New Roman"/>
          <w:szCs w:val="24"/>
        </w:rPr>
        <w:t xml:space="preserve"> </w:t>
      </w:r>
      <w:r w:rsidR="00790570">
        <w:rPr>
          <w:rFonts w:eastAsia="Times New Roman" w:cs="Times New Roman"/>
          <w:szCs w:val="24"/>
        </w:rPr>
        <w:t>the</w:t>
      </w:r>
      <w:r w:rsidRPr="41272327">
        <w:rPr>
          <w:rFonts w:eastAsia="Times New Roman" w:cs="Times New Roman"/>
          <w:szCs w:val="24"/>
        </w:rPr>
        <w:t xml:space="preserve"> DMID-sponsored clinical trials. The system is used when investigational </w:t>
      </w:r>
      <w:r w:rsidR="00304831" w:rsidRPr="41272327">
        <w:rPr>
          <w:rFonts w:eastAsia="Times New Roman" w:cs="Times New Roman"/>
          <w:szCs w:val="24"/>
        </w:rPr>
        <w:t>products</w:t>
      </w:r>
      <w:r w:rsidRPr="41272327">
        <w:rPr>
          <w:rFonts w:eastAsia="Times New Roman" w:cs="Times New Roman"/>
          <w:szCs w:val="24"/>
        </w:rPr>
        <w:t xml:space="preserve"> and/or supplies are supplied through the CMS.  Refer to the website at: </w:t>
      </w:r>
      <w:hyperlink r:id="rId14" w:history="1">
        <w:r w:rsidRPr="41272327">
          <w:rPr>
            <w:rStyle w:val="Hyperlink"/>
            <w:rFonts w:eastAsia="Times New Roman" w:cs="Times New Roman"/>
            <w:szCs w:val="24"/>
          </w:rPr>
          <w:t>www.order-it.org</w:t>
        </w:r>
      </w:hyperlink>
      <w:r w:rsidRPr="41272327">
        <w:rPr>
          <w:rFonts w:eastAsia="Times New Roman" w:cs="Times New Roman"/>
          <w:szCs w:val="24"/>
        </w:rPr>
        <w:t xml:space="preserve"> for instructional videos or contact the CMS for further details.</w:t>
      </w:r>
    </w:p>
    <w:p w14:paraId="2276B6AB" w14:textId="216277F6" w:rsidR="00FF3B71" w:rsidRDefault="00FF3B71" w:rsidP="007528C7">
      <w:pPr>
        <w:pStyle w:val="ListStyle3"/>
        <w:rPr>
          <w:color w:val="000000" w:themeColor="text1"/>
        </w:rPr>
      </w:pPr>
      <w:bookmarkStart w:id="35" w:name="_Toc25150773"/>
      <w:bookmarkStart w:id="36" w:name="_Toc25151379"/>
      <w:bookmarkStart w:id="37" w:name="_Toc25150774"/>
      <w:bookmarkStart w:id="38" w:name="_Toc25151380"/>
      <w:bookmarkStart w:id="39" w:name="_Toc25150775"/>
      <w:bookmarkStart w:id="40" w:name="_Toc25151381"/>
      <w:bookmarkStart w:id="41" w:name="_Toc25150776"/>
      <w:bookmarkStart w:id="42" w:name="_Toc25151382"/>
      <w:bookmarkStart w:id="43" w:name="_Toc25150777"/>
      <w:bookmarkStart w:id="44" w:name="_Toc25151383"/>
      <w:bookmarkStart w:id="45" w:name="_Toc25150778"/>
      <w:bookmarkStart w:id="46" w:name="_Toc25151384"/>
      <w:bookmarkStart w:id="47" w:name="_Toc25150779"/>
      <w:bookmarkStart w:id="48" w:name="_Toc25151385"/>
      <w:bookmarkStart w:id="49" w:name="1.3.2_Documents_Applicable_to_Research_P"/>
      <w:bookmarkStart w:id="50" w:name="_Hlk21535909"/>
      <w:bookmarkStart w:id="51" w:name="_Toc25151386"/>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t>Documents Applicable to Research Pharmacies</w:t>
      </w:r>
      <w:bookmarkEnd w:id="50"/>
      <w:bookmarkEnd w:id="51"/>
    </w:p>
    <w:p w14:paraId="55EFA3EC" w14:textId="77777777" w:rsidR="0060149E" w:rsidRDefault="00FF3B71" w:rsidP="005A5504">
      <w:pPr>
        <w:ind w:left="1440"/>
      </w:pPr>
      <w:bookmarkStart w:id="52" w:name="_Hlk21536693"/>
      <w:r w:rsidRPr="00E87067">
        <w:t>Refer to</w:t>
      </w:r>
      <w:r w:rsidR="00415F30">
        <w:t xml:space="preserve"> section</w:t>
      </w:r>
      <w:r w:rsidRPr="00E87067">
        <w:t xml:space="preserve"> </w:t>
      </w:r>
      <w:r w:rsidR="00415F30">
        <w:fldChar w:fldCharType="begin"/>
      </w:r>
      <w:r w:rsidR="00415F30">
        <w:instrText xml:space="preserve"> REF _Ref207332077 \r \h </w:instrText>
      </w:r>
      <w:r w:rsidR="00415F30">
        <w:fldChar w:fldCharType="separate"/>
      </w:r>
      <w:r w:rsidR="00415F30">
        <w:t>11</w:t>
      </w:r>
      <w:r w:rsidR="00415F30">
        <w:fldChar w:fldCharType="end"/>
      </w:r>
      <w:r w:rsidRPr="00E87067">
        <w:t>, for documents that may be applicable to research pharmacies</w:t>
      </w:r>
      <w:bookmarkEnd w:id="52"/>
      <w:r w:rsidRPr="00E87067">
        <w:t>.</w:t>
      </w:r>
    </w:p>
    <w:p w14:paraId="7DC01BDB" w14:textId="77777777" w:rsidR="00FF3B71" w:rsidRPr="00E87067" w:rsidRDefault="00FF3B71" w:rsidP="007528C7">
      <w:pPr>
        <w:pStyle w:val="Heading3b"/>
      </w:pPr>
      <w:bookmarkStart w:id="53" w:name="1.4_Research_Pharmacy_Standard_Operating"/>
      <w:bookmarkStart w:id="54" w:name="_Hlk21536737"/>
      <w:bookmarkStart w:id="55" w:name="_Toc25151387"/>
      <w:bookmarkEnd w:id="53"/>
      <w:r w:rsidRPr="00E87067">
        <w:t>Research Pharmacy Standard Operating Procedures (SOPs)</w:t>
      </w:r>
      <w:bookmarkEnd w:id="54"/>
      <w:bookmarkEnd w:id="55"/>
    </w:p>
    <w:p w14:paraId="668E4E95" w14:textId="7DFC3A64" w:rsidR="00FF3B71" w:rsidRPr="00E87067" w:rsidRDefault="00FF3B71" w:rsidP="00E87067">
      <w:bookmarkStart w:id="56" w:name="_Hlk21530726"/>
      <w:bookmarkStart w:id="57" w:name="_Hlk21536765"/>
      <w:r>
        <w:t xml:space="preserve">Sites are expected to have research pharmacy SOPs in place prior to the initiation of a clinical trial. The Research Pharmacist is responsible for </w:t>
      </w:r>
      <w:r w:rsidR="7058A83D">
        <w:t>having detailed, written instructions gove</w:t>
      </w:r>
      <w:r w:rsidR="0A3A4B17">
        <w:t xml:space="preserve">rning pharmacy operations and </w:t>
      </w:r>
      <w:r w:rsidR="009B3AA1">
        <w:t>investigational</w:t>
      </w:r>
      <w:r w:rsidR="0A3A4B17">
        <w:t xml:space="preserve"> product management, for conducting the DMID-sponsored and/or supported clinical trials and to assure compliance with all applicable laws and reg</w:t>
      </w:r>
      <w:r w:rsidR="19B5B823">
        <w:t>ulations</w:t>
      </w:r>
      <w:r w:rsidR="39550AE2">
        <w:t xml:space="preserve">. </w:t>
      </w:r>
      <w:r>
        <w:t xml:space="preserve"> </w:t>
      </w:r>
      <w:r w:rsidR="29FA8FDD">
        <w:t xml:space="preserve">At minimum, the research pharmacy should have written SOPs that govern the </w:t>
      </w:r>
      <w:r>
        <w:t>receipt, storage, prepar</w:t>
      </w:r>
      <w:r w:rsidR="6A3BC046">
        <w:t>ation</w:t>
      </w:r>
      <w:r>
        <w:t>, dispensing,</w:t>
      </w:r>
      <w:r w:rsidR="5E6E0349">
        <w:t xml:space="preserve"> chain of custody,</w:t>
      </w:r>
      <w:r>
        <w:t xml:space="preserve"> </w:t>
      </w:r>
      <w:r w:rsidR="63034786">
        <w:t xml:space="preserve">final </w:t>
      </w:r>
      <w:r>
        <w:t>dispos</w:t>
      </w:r>
      <w:r w:rsidR="0047209E">
        <w:t>i</w:t>
      </w:r>
      <w:r w:rsidR="22FEBB54">
        <w:t>tion of investigational product(s)</w:t>
      </w:r>
      <w:r>
        <w:t>,</w:t>
      </w:r>
      <w:r w:rsidDel="00FF3B71">
        <w:t xml:space="preserve"> </w:t>
      </w:r>
      <w:r>
        <w:t>accountability, inventory</w:t>
      </w:r>
      <w:r w:rsidR="43E9D8B3">
        <w:t xml:space="preserve"> process</w:t>
      </w:r>
      <w:r>
        <w:t xml:space="preserve">, </w:t>
      </w:r>
      <w:r w:rsidR="7CA08AA5">
        <w:t xml:space="preserve">labeling, </w:t>
      </w:r>
      <w:r>
        <w:t xml:space="preserve">and quarantine of </w:t>
      </w:r>
      <w:r w:rsidR="009B3AA1">
        <w:t>investigational</w:t>
      </w:r>
      <w:r>
        <w:t xml:space="preserve"> products. </w:t>
      </w:r>
    </w:p>
    <w:p w14:paraId="4DF9AE3F" w14:textId="48578375" w:rsidR="00FF3B71" w:rsidRPr="00E87067" w:rsidRDefault="00FF3B71" w:rsidP="00E87067">
      <w:r>
        <w:t xml:space="preserve">For some protocols, the Research Pharmacist may be required to generate protocol-specific SOPs, as indicated, based on the requirements in the protocol or </w:t>
      </w:r>
      <w:r w:rsidR="009B3AA1">
        <w:t>investigational</w:t>
      </w:r>
      <w:r>
        <w:t>- specific MOP.</w:t>
      </w:r>
    </w:p>
    <w:p w14:paraId="7E9E934E" w14:textId="77777777" w:rsidR="00FF3B71" w:rsidRPr="00E87067" w:rsidRDefault="00FF3B71" w:rsidP="00E87067">
      <w:r w:rsidRPr="00E87067">
        <w:t>Examples of some applicable SOPs may include, but are not limited to, the following</w:t>
      </w:r>
      <w:bookmarkEnd w:id="56"/>
      <w:r w:rsidRPr="00E87067">
        <w:t>:</w:t>
      </w:r>
    </w:p>
    <w:p w14:paraId="2486112C" w14:textId="2CC5E1ED" w:rsidR="00FF3B71" w:rsidRPr="001D3660" w:rsidRDefault="00FF3B71" w:rsidP="00A035F1">
      <w:pPr>
        <w:pStyle w:val="ListParagraph2"/>
      </w:pPr>
      <w:r w:rsidRPr="001D3660">
        <w:t xml:space="preserve">Accountability of </w:t>
      </w:r>
      <w:r w:rsidR="009B3AA1">
        <w:t>Investigational</w:t>
      </w:r>
      <w:r w:rsidRPr="001D3660">
        <w:t xml:space="preserve"> Product</w:t>
      </w:r>
    </w:p>
    <w:p w14:paraId="464D85F2" w14:textId="40F69562" w:rsidR="00FF3B71" w:rsidRPr="001D3660" w:rsidRDefault="00FF3B71" w:rsidP="00A035F1">
      <w:pPr>
        <w:pStyle w:val="ListParagraph2"/>
      </w:pPr>
      <w:r w:rsidRPr="001D3660">
        <w:t xml:space="preserve">Chain of Custody of </w:t>
      </w:r>
      <w:r w:rsidR="009B3AA1">
        <w:t>Investigational</w:t>
      </w:r>
      <w:r w:rsidRPr="001D3660">
        <w:t xml:space="preserve"> Product</w:t>
      </w:r>
    </w:p>
    <w:p w14:paraId="27188143" w14:textId="69816836" w:rsidR="00FF3B71" w:rsidRPr="001D3660" w:rsidRDefault="00FF3B71" w:rsidP="00A035F1">
      <w:pPr>
        <w:pStyle w:val="ListParagraph2"/>
      </w:pPr>
      <w:r w:rsidRPr="001D3660">
        <w:t xml:space="preserve">Cold Chain Management of </w:t>
      </w:r>
      <w:r w:rsidR="009B3AA1">
        <w:t>Investigational</w:t>
      </w:r>
      <w:r w:rsidRPr="001D3660">
        <w:t xml:space="preserve"> Product</w:t>
      </w:r>
    </w:p>
    <w:p w14:paraId="7223B3D7" w14:textId="77777777" w:rsidR="00FF3B71" w:rsidRPr="001D3660" w:rsidRDefault="00FF3B71" w:rsidP="00A035F1">
      <w:pPr>
        <w:pStyle w:val="ListParagraph2"/>
      </w:pPr>
      <w:r w:rsidRPr="001D3660">
        <w:t>Communication between Pharmacy and the Clinic</w:t>
      </w:r>
    </w:p>
    <w:p w14:paraId="5EB72A67" w14:textId="21D55E02" w:rsidR="00FF3B71" w:rsidRPr="001D3660" w:rsidRDefault="00FF3B71" w:rsidP="00A035F1">
      <w:pPr>
        <w:pStyle w:val="ListParagraph2"/>
      </w:pPr>
      <w:r w:rsidRPr="001D3660">
        <w:t xml:space="preserve">Destruction of </w:t>
      </w:r>
      <w:r w:rsidR="009B3AA1">
        <w:t>Investigational</w:t>
      </w:r>
      <w:r w:rsidRPr="001D3660">
        <w:t xml:space="preserve"> Products</w:t>
      </w:r>
    </w:p>
    <w:p w14:paraId="33E28F74" w14:textId="67ADFEEE" w:rsidR="00FF3B71" w:rsidRPr="001D3660" w:rsidRDefault="00FF3B71" w:rsidP="00A035F1">
      <w:pPr>
        <w:pStyle w:val="ListParagraph2"/>
      </w:pPr>
      <w:r w:rsidRPr="001D3660">
        <w:lastRenderedPageBreak/>
        <w:t xml:space="preserve">Dispensing of </w:t>
      </w:r>
      <w:r w:rsidR="009B3AA1">
        <w:t>Investigational</w:t>
      </w:r>
      <w:r w:rsidRPr="001D3660">
        <w:t xml:space="preserve"> Product</w:t>
      </w:r>
    </w:p>
    <w:p w14:paraId="15A62D69" w14:textId="77777777" w:rsidR="00FF3B71" w:rsidRPr="001D3660" w:rsidRDefault="00FF3B71" w:rsidP="00A035F1">
      <w:pPr>
        <w:pStyle w:val="ListParagraph2"/>
      </w:pPr>
      <w:r w:rsidRPr="001D3660">
        <w:t>Emergency Plan for Equipment Failure or Prolonged Power Failure</w:t>
      </w:r>
    </w:p>
    <w:p w14:paraId="2328C793" w14:textId="18D5963A" w:rsidR="00FF3B71" w:rsidRPr="001D3660" w:rsidRDefault="00FF3B71" w:rsidP="00A035F1">
      <w:pPr>
        <w:pStyle w:val="ListParagraph2"/>
      </w:pPr>
      <w:r w:rsidRPr="001D3660">
        <w:t xml:space="preserve">Inventory and Expiration Date Review of </w:t>
      </w:r>
      <w:r w:rsidR="009B3AA1">
        <w:t>Investigational</w:t>
      </w:r>
      <w:r w:rsidRPr="001D3660">
        <w:t xml:space="preserve"> Product</w:t>
      </w:r>
    </w:p>
    <w:p w14:paraId="6E7D0F3E" w14:textId="73D04214" w:rsidR="00FF3B71" w:rsidRPr="001D3660" w:rsidRDefault="00FF3B71" w:rsidP="00A035F1">
      <w:pPr>
        <w:pStyle w:val="ListParagraph2"/>
      </w:pPr>
      <w:r w:rsidRPr="001D3660">
        <w:t xml:space="preserve">Management of Damaged, Expired, or Recalled </w:t>
      </w:r>
      <w:r w:rsidR="009B3AA1">
        <w:t>Investigational</w:t>
      </w:r>
      <w:r w:rsidRPr="001D3660">
        <w:t xml:space="preserve"> Product</w:t>
      </w:r>
    </w:p>
    <w:p w14:paraId="4EBEAA3E" w14:textId="19BA1F9F" w:rsidR="00FF3B71" w:rsidRPr="001D3660" w:rsidRDefault="00FF3B71" w:rsidP="00A035F1">
      <w:pPr>
        <w:pStyle w:val="ListParagraph2"/>
      </w:pPr>
      <w:r w:rsidRPr="001D3660">
        <w:t xml:space="preserve">Management of </w:t>
      </w:r>
      <w:r w:rsidR="009B3AA1">
        <w:t>Investigational</w:t>
      </w:r>
      <w:r w:rsidRPr="001D3660">
        <w:t xml:space="preserve"> Product Essential Information and Related Documents</w:t>
      </w:r>
    </w:p>
    <w:p w14:paraId="0395FBF2" w14:textId="66A8D577" w:rsidR="00FF3B71" w:rsidRPr="001D3660" w:rsidRDefault="00FF3B71" w:rsidP="00A035F1">
      <w:pPr>
        <w:pStyle w:val="ListParagraph2"/>
      </w:pPr>
      <w:r w:rsidRPr="001D3660">
        <w:t xml:space="preserve">Management and Accountability of </w:t>
      </w:r>
      <w:r w:rsidR="009B3AA1">
        <w:t>Investigational</w:t>
      </w:r>
      <w:r w:rsidRPr="001D3660">
        <w:t xml:space="preserve"> Product</w:t>
      </w:r>
    </w:p>
    <w:p w14:paraId="2BEF2A36" w14:textId="23123ED0" w:rsidR="00FF3B71" w:rsidRPr="001D3660" w:rsidRDefault="00FF3B71" w:rsidP="00A035F1">
      <w:pPr>
        <w:pStyle w:val="ListParagraph2"/>
      </w:pPr>
      <w:r w:rsidRPr="001D3660">
        <w:t xml:space="preserve">Ordering and Receipt of </w:t>
      </w:r>
      <w:r w:rsidR="009B3AA1">
        <w:t>Investigational</w:t>
      </w:r>
      <w:r w:rsidRPr="001D3660">
        <w:t xml:space="preserve"> Products</w:t>
      </w:r>
    </w:p>
    <w:p w14:paraId="11333568" w14:textId="27F1CD6C" w:rsidR="00FF3B71" w:rsidRPr="001D3660" w:rsidRDefault="00FF3B71" w:rsidP="00A035F1">
      <w:pPr>
        <w:pStyle w:val="ListParagraph2"/>
      </w:pPr>
      <w:r w:rsidRPr="001D3660">
        <w:t xml:space="preserve">Prescriptions for </w:t>
      </w:r>
      <w:r w:rsidR="009B3AA1">
        <w:t>Investigational</w:t>
      </w:r>
      <w:r w:rsidRPr="001D3660">
        <w:t xml:space="preserve"> Products</w:t>
      </w:r>
    </w:p>
    <w:p w14:paraId="74949DCF" w14:textId="6AB23ECB" w:rsidR="00FF3B71" w:rsidRPr="001D3660" w:rsidRDefault="00FF3B71" w:rsidP="00A035F1">
      <w:pPr>
        <w:pStyle w:val="ListParagraph2"/>
      </w:pPr>
      <w:r w:rsidRPr="001D3660">
        <w:t xml:space="preserve">Quality Assurance and Quality Management for </w:t>
      </w:r>
      <w:r w:rsidR="009B3AA1">
        <w:t>Investigational</w:t>
      </w:r>
      <w:r w:rsidRPr="001D3660">
        <w:t xml:space="preserve"> Product</w:t>
      </w:r>
    </w:p>
    <w:p w14:paraId="047715E6" w14:textId="5BFBED78" w:rsidR="00FF3B71" w:rsidRPr="001D3660" w:rsidRDefault="00FF3B71" w:rsidP="00A035F1">
      <w:pPr>
        <w:pStyle w:val="ListParagraph2"/>
      </w:pPr>
      <w:r w:rsidRPr="001D3660">
        <w:t xml:space="preserve">Quarantine of </w:t>
      </w:r>
      <w:r w:rsidR="009B3AA1">
        <w:t>Investigational</w:t>
      </w:r>
      <w:r w:rsidRPr="001D3660">
        <w:t xml:space="preserve"> Product</w:t>
      </w:r>
    </w:p>
    <w:p w14:paraId="678FCA3B" w14:textId="4A7229A0" w:rsidR="00FF3B71" w:rsidRPr="001D3660" w:rsidRDefault="00FF3B71" w:rsidP="00A035F1">
      <w:pPr>
        <w:pStyle w:val="ListParagraph2"/>
      </w:pPr>
      <w:r w:rsidRPr="001D3660">
        <w:t xml:space="preserve">Recall of </w:t>
      </w:r>
      <w:r w:rsidR="009B3AA1">
        <w:t>Investigational</w:t>
      </w:r>
      <w:r w:rsidRPr="001D3660">
        <w:t xml:space="preserve"> Products</w:t>
      </w:r>
    </w:p>
    <w:p w14:paraId="124E23AF" w14:textId="2A96C91E" w:rsidR="00FF3B71" w:rsidRPr="001D3660" w:rsidRDefault="00FF3B71" w:rsidP="00A035F1">
      <w:pPr>
        <w:pStyle w:val="ListParagraph2"/>
      </w:pPr>
      <w:r w:rsidRPr="001D3660">
        <w:t xml:space="preserve">Return of </w:t>
      </w:r>
      <w:r w:rsidR="009B3AA1">
        <w:t>Investigational</w:t>
      </w:r>
      <w:r w:rsidRPr="001D3660">
        <w:t xml:space="preserve"> Products</w:t>
      </w:r>
    </w:p>
    <w:p w14:paraId="5ABBB9C7" w14:textId="4E268DB1" w:rsidR="00FF3B71" w:rsidRPr="001D3660" w:rsidRDefault="00FF3B71" w:rsidP="00A035F1">
      <w:pPr>
        <w:pStyle w:val="ListParagraph2"/>
      </w:pPr>
      <w:r w:rsidRPr="001D3660">
        <w:t xml:space="preserve">Storage and Security of </w:t>
      </w:r>
      <w:r w:rsidR="009B3AA1">
        <w:t>Investigational</w:t>
      </w:r>
      <w:r w:rsidRPr="001D3660">
        <w:t xml:space="preserve"> Products</w:t>
      </w:r>
    </w:p>
    <w:p w14:paraId="6ED2F2E3" w14:textId="77777777" w:rsidR="00FF3B71" w:rsidRPr="001D3660" w:rsidRDefault="00FF3B71" w:rsidP="00A035F1">
      <w:pPr>
        <w:pStyle w:val="ListParagraph2"/>
      </w:pPr>
      <w:r w:rsidRPr="001D3660">
        <w:t>Temperature Alarm Notification Process</w:t>
      </w:r>
    </w:p>
    <w:p w14:paraId="2DBCE860" w14:textId="77777777" w:rsidR="00FF3B71" w:rsidRPr="001D3660" w:rsidRDefault="00FF3B71" w:rsidP="00A035F1">
      <w:pPr>
        <w:pStyle w:val="ListParagraph2"/>
      </w:pPr>
      <w:r w:rsidRPr="001D3660">
        <w:t>Temperature Monitoring and Documentation</w:t>
      </w:r>
    </w:p>
    <w:p w14:paraId="432B72BB" w14:textId="77777777" w:rsidR="00FF3B71" w:rsidRPr="001D3660" w:rsidRDefault="00FF3B71" w:rsidP="00A035F1">
      <w:pPr>
        <w:pStyle w:val="ListParagraph2"/>
      </w:pPr>
      <w:r w:rsidRPr="001D3660">
        <w:t>Unblinding Procedures for Routine and Emergent Situations</w:t>
      </w:r>
      <w:bookmarkEnd w:id="57"/>
    </w:p>
    <w:p w14:paraId="74DD5130" w14:textId="08A7D0D0" w:rsidR="00FF3B71" w:rsidRPr="00E87067" w:rsidRDefault="00FF3B71" w:rsidP="00B76405">
      <w:pPr>
        <w:pStyle w:val="Heading1"/>
      </w:pPr>
      <w:bookmarkStart w:id="58" w:name="2_Essential_Information_Required_for_Stu"/>
      <w:bookmarkStart w:id="59" w:name="_Toc25151388"/>
      <w:bookmarkStart w:id="60" w:name="_Toc224716368"/>
      <w:bookmarkEnd w:id="58"/>
      <w:r>
        <w:t xml:space="preserve">Essential Information Required for </w:t>
      </w:r>
      <w:r w:rsidR="009B3AA1">
        <w:t>Investigational</w:t>
      </w:r>
      <w:r w:rsidR="003C5219">
        <w:t xml:space="preserve"> </w:t>
      </w:r>
      <w:r>
        <w:t>Products</w:t>
      </w:r>
      <w:bookmarkEnd w:id="59"/>
      <w:bookmarkEnd w:id="60"/>
    </w:p>
    <w:p w14:paraId="54054FCC" w14:textId="5CBBA18B" w:rsidR="00AE0C0B" w:rsidRPr="00A40373" w:rsidRDefault="00FF3B71" w:rsidP="007528C7">
      <w:pPr>
        <w:pStyle w:val="ListParagraph2"/>
      </w:pPr>
      <w:r w:rsidRPr="00A40373">
        <w:t xml:space="preserve">The PI is responsible for providing any </w:t>
      </w:r>
      <w:r w:rsidR="00304831">
        <w:t>investigation</w:t>
      </w:r>
      <w:r w:rsidRPr="00A40373">
        <w:t xml:space="preserve">-related documents with essential information on </w:t>
      </w:r>
      <w:r w:rsidR="009B3AA1">
        <w:t>investigational</w:t>
      </w:r>
      <w:r w:rsidRPr="00A40373">
        <w:t xml:space="preserve"> products to the Research Pharmacist</w:t>
      </w:r>
      <w:r w:rsidR="00EA633E">
        <w:t>.</w:t>
      </w:r>
    </w:p>
    <w:p w14:paraId="21B0932A" w14:textId="77777777" w:rsidR="00AE0C0B" w:rsidRPr="00001427" w:rsidRDefault="00FF3B71" w:rsidP="007528C7">
      <w:pPr>
        <w:pStyle w:val="ListParagraph2"/>
      </w:pPr>
      <w:r w:rsidRPr="00001427">
        <w:t xml:space="preserve">Documents with essential information on </w:t>
      </w:r>
      <w:r w:rsidR="009B3AA1" w:rsidRPr="00001427">
        <w:t>investigational</w:t>
      </w:r>
      <w:r w:rsidRPr="00001427">
        <w:t xml:space="preserve"> products should include but are not limited to the following:</w:t>
      </w:r>
    </w:p>
    <w:p w14:paraId="3BA96379" w14:textId="77777777" w:rsidR="00AE0C0B" w:rsidRDefault="00FF3B71" w:rsidP="007528C7">
      <w:pPr>
        <w:pStyle w:val="ListParagraph2"/>
        <w:numPr>
          <w:ilvl w:val="0"/>
          <w:numId w:val="123"/>
        </w:numPr>
        <w:ind w:left="1080"/>
      </w:pPr>
      <w:r w:rsidRPr="00E87067">
        <w:t>IRB/IEC-approved Protocol (most recent and current version)</w:t>
      </w:r>
    </w:p>
    <w:p w14:paraId="0970452A" w14:textId="77777777" w:rsidR="00AE0C0B" w:rsidRDefault="00FF3B71" w:rsidP="007528C7">
      <w:pPr>
        <w:pStyle w:val="ListParagraph2"/>
        <w:numPr>
          <w:ilvl w:val="0"/>
          <w:numId w:val="123"/>
        </w:numPr>
        <w:ind w:left="1080"/>
      </w:pPr>
      <w:r w:rsidRPr="00E87067">
        <w:t>Manual of Procedures</w:t>
      </w:r>
    </w:p>
    <w:p w14:paraId="4935BC8D" w14:textId="77777777" w:rsidR="00AE0C0B" w:rsidRDefault="00FF3B71" w:rsidP="007528C7">
      <w:pPr>
        <w:pStyle w:val="ListParagraph2"/>
        <w:numPr>
          <w:ilvl w:val="0"/>
          <w:numId w:val="123"/>
        </w:numPr>
        <w:ind w:left="1080"/>
      </w:pPr>
      <w:r w:rsidRPr="00E87067">
        <w:t>Pharmacy Manual (if applicable)</w:t>
      </w:r>
    </w:p>
    <w:p w14:paraId="1CE5433F" w14:textId="0339531A" w:rsidR="00FF3B71" w:rsidRPr="00E87067" w:rsidRDefault="00FF3B71" w:rsidP="007528C7">
      <w:pPr>
        <w:pStyle w:val="ListParagraph2"/>
        <w:numPr>
          <w:ilvl w:val="0"/>
          <w:numId w:val="123"/>
        </w:numPr>
        <w:ind w:left="1080"/>
      </w:pPr>
      <w:r w:rsidRPr="00E87067">
        <w:t>Product Package Insert (PPI) or Investigator’s Brochure (IB)</w:t>
      </w:r>
    </w:p>
    <w:p w14:paraId="22517705" w14:textId="58F3BD2C" w:rsidR="00FF3B71" w:rsidRPr="00E87067" w:rsidRDefault="00FF3B71" w:rsidP="007528C7">
      <w:pPr>
        <w:pStyle w:val="ListParagraph2"/>
      </w:pPr>
      <w:r w:rsidRPr="00E87067">
        <w:t xml:space="preserve">The Research Pharmacist must have detailed knowledge of and must adhere to the requirements as outlined in the above documents. The Research Pharmacist must maintain all essential information, pertaining to </w:t>
      </w:r>
      <w:r w:rsidR="009B3AA1">
        <w:t>investigational</w:t>
      </w:r>
      <w:r w:rsidRPr="00E87067">
        <w:t xml:space="preserve"> products being used in the DMID-sponsored clinical trials, in the pharmacy files.</w:t>
      </w:r>
    </w:p>
    <w:p w14:paraId="2A4FB7F6" w14:textId="629DBEF4" w:rsidR="00FF3B71" w:rsidRPr="00E87067" w:rsidRDefault="00FF3B71" w:rsidP="007528C7">
      <w:pPr>
        <w:pStyle w:val="ListParagraph2"/>
      </w:pPr>
      <w:r w:rsidRPr="00E87067">
        <w:lastRenderedPageBreak/>
        <w:t>The PI and Research Pharmacist should establish a system to ensure that the current document versions are on file for reference and are being followed when preparing and dispensing the protocol-specific product</w:t>
      </w:r>
      <w:r w:rsidR="00340A2E">
        <w:t>.</w:t>
      </w:r>
    </w:p>
    <w:p w14:paraId="4F51143C" w14:textId="59456F67" w:rsidR="00FF3B71" w:rsidRPr="00E87067" w:rsidRDefault="00FF3B71" w:rsidP="007528C7">
      <w:pPr>
        <w:pStyle w:val="ListParagraph2"/>
      </w:pPr>
      <w:r w:rsidRPr="00E87067">
        <w:t xml:space="preserve">The PST should be contacted for any </w:t>
      </w:r>
      <w:r w:rsidR="009B3AA1">
        <w:t>investigational</w:t>
      </w:r>
      <w:r w:rsidR="00304831">
        <w:t xml:space="preserve"> </w:t>
      </w:r>
      <w:r w:rsidRPr="00E87067">
        <w:t xml:space="preserve">product related questions. If there </w:t>
      </w:r>
      <w:r w:rsidR="00AF29D1" w:rsidRPr="00E87067">
        <w:t>are any questions</w:t>
      </w:r>
      <w:r w:rsidRPr="00E87067">
        <w:t xml:space="preserve"> regarding the content or instructions contained in any other </w:t>
      </w:r>
      <w:r w:rsidR="009B3AA1">
        <w:t>investigational</w:t>
      </w:r>
      <w:r w:rsidR="00AE597C">
        <w:t xml:space="preserve"> product</w:t>
      </w:r>
      <w:r w:rsidR="009D15B7">
        <w:t xml:space="preserve"> </w:t>
      </w:r>
      <w:r w:rsidRPr="00E87067">
        <w:t>related documents, the DMID Clinical Project Manager (CPM) should be contacted for clarification</w:t>
      </w:r>
      <w:r w:rsidR="00340A2E">
        <w:t>.</w:t>
      </w:r>
    </w:p>
    <w:p w14:paraId="748220A7" w14:textId="3D06F247" w:rsidR="00FF3B71" w:rsidRPr="00E87067" w:rsidRDefault="00FF3B71" w:rsidP="007528C7">
      <w:pPr>
        <w:pStyle w:val="ListParagraph2"/>
      </w:pPr>
      <w:r w:rsidRPr="00E87067">
        <w:t xml:space="preserve">If the </w:t>
      </w:r>
      <w:r w:rsidR="00304831">
        <w:t>investigation</w:t>
      </w:r>
      <w:r w:rsidRPr="00E87067">
        <w:t xml:space="preserve"> is blinded, a treatment assignment list may be used by the Research Pharmacist. Access to this information must be limited to only the unblinded authorized personnel per the protocol or MOP. The treatment assignment list must be stored in a locked and secure location with limited accessibility.</w:t>
      </w:r>
    </w:p>
    <w:p w14:paraId="3F2BA539" w14:textId="57CFB475" w:rsidR="00FF3B71" w:rsidRPr="00E87067" w:rsidRDefault="00FF3B71" w:rsidP="007528C7">
      <w:pPr>
        <w:pStyle w:val="ListParagraph2"/>
      </w:pPr>
      <w:r w:rsidRPr="00E87067">
        <w:t xml:space="preserve">The names of the investigator(s), </w:t>
      </w:r>
      <w:r w:rsidR="009B3AA1">
        <w:t>investigational</w:t>
      </w:r>
      <w:r w:rsidRPr="00E87067">
        <w:t xml:space="preserve"> coordinator, and product supplier, along with an authorized prescriber signature list, should be maintained for each protocol, as applicable. This list should be kept current with updates whenever individuals are added or deleted.</w:t>
      </w:r>
    </w:p>
    <w:p w14:paraId="086E4D9B" w14:textId="4E89537A" w:rsidR="00FF3B71" w:rsidRDefault="00FF3B71" w:rsidP="007528C7">
      <w:pPr>
        <w:pStyle w:val="ListParagraph2"/>
      </w:pPr>
      <w:r w:rsidRPr="00E87067">
        <w:t xml:space="preserve">The information contained within the </w:t>
      </w:r>
      <w:r w:rsidR="005368D5">
        <w:t>investigation</w:t>
      </w:r>
      <w:r w:rsidRPr="00E87067">
        <w:t>-related documents may be proprietary and should not be reproduced or distributed to individuals outside of the clinical research site team.</w:t>
      </w:r>
    </w:p>
    <w:p w14:paraId="7ABEB7FA" w14:textId="77777777" w:rsidR="00AD42CE" w:rsidRPr="00E87067" w:rsidRDefault="00AD42CE" w:rsidP="00083FE3">
      <w:pPr>
        <w:pStyle w:val="ListParagraph2"/>
        <w:numPr>
          <w:ilvl w:val="0"/>
          <w:numId w:val="0"/>
        </w:numPr>
        <w:ind w:left="720"/>
      </w:pPr>
    </w:p>
    <w:p w14:paraId="0AA3FB3E" w14:textId="77777777" w:rsidR="00FF3B71" w:rsidRDefault="00FF3B71" w:rsidP="00B76405">
      <w:pPr>
        <w:pStyle w:val="Heading1"/>
      </w:pPr>
      <w:bookmarkStart w:id="61" w:name="3_Accountability_and_Inventory_Control"/>
      <w:bookmarkStart w:id="62" w:name="_Toc25151389"/>
      <w:bookmarkStart w:id="63" w:name="_Toc224716369"/>
      <w:bookmarkEnd w:id="61"/>
      <w:r w:rsidRPr="00E87067">
        <w:t>Accountability and Inventory Control</w:t>
      </w:r>
      <w:bookmarkEnd w:id="62"/>
      <w:bookmarkEnd w:id="63"/>
    </w:p>
    <w:p w14:paraId="7D41C481" w14:textId="77777777" w:rsidR="00C35C60" w:rsidRPr="00C35C60" w:rsidRDefault="00C35C60" w:rsidP="00C35C60">
      <w:pPr>
        <w:pStyle w:val="ListParagraph"/>
        <w:numPr>
          <w:ilvl w:val="0"/>
          <w:numId w:val="129"/>
        </w:numPr>
        <w:spacing w:before="240" w:after="240"/>
        <w:contextualSpacing w:val="0"/>
        <w:rPr>
          <w:rFonts w:ascii="Aptos Display" w:eastAsia="Times New Roman" w:hAnsi="Aptos Display" w:cs="Times New Roman"/>
          <w:b/>
          <w:bCs/>
          <w:vanish/>
          <w:color w:val="03569B"/>
          <w:sz w:val="36"/>
          <w:szCs w:val="28"/>
          <w:lang w:bidi="en-US"/>
        </w:rPr>
      </w:pPr>
    </w:p>
    <w:p w14:paraId="61EBE3B7" w14:textId="77777777" w:rsidR="00C35C60" w:rsidRPr="00C35C60" w:rsidRDefault="00C35C60" w:rsidP="00C35C60">
      <w:pPr>
        <w:pStyle w:val="ListParagraph"/>
        <w:numPr>
          <w:ilvl w:val="0"/>
          <w:numId w:val="129"/>
        </w:numPr>
        <w:spacing w:before="240" w:after="240"/>
        <w:contextualSpacing w:val="0"/>
        <w:rPr>
          <w:rFonts w:ascii="Aptos Display" w:eastAsia="Times New Roman" w:hAnsi="Aptos Display" w:cs="Times New Roman"/>
          <w:b/>
          <w:bCs/>
          <w:vanish/>
          <w:color w:val="03569B"/>
          <w:sz w:val="36"/>
          <w:szCs w:val="28"/>
          <w:lang w:bidi="en-US"/>
        </w:rPr>
      </w:pPr>
    </w:p>
    <w:p w14:paraId="5BF5C16A" w14:textId="77777777" w:rsidR="00C35C60" w:rsidRPr="00C35C60" w:rsidRDefault="00C35C60" w:rsidP="00C35C60">
      <w:pPr>
        <w:pStyle w:val="ListParagraph"/>
        <w:numPr>
          <w:ilvl w:val="0"/>
          <w:numId w:val="129"/>
        </w:numPr>
        <w:spacing w:before="240" w:after="240"/>
        <w:contextualSpacing w:val="0"/>
        <w:rPr>
          <w:rFonts w:ascii="Aptos Display" w:eastAsia="Times New Roman" w:hAnsi="Aptos Display" w:cs="Times New Roman"/>
          <w:b/>
          <w:bCs/>
          <w:vanish/>
          <w:color w:val="03569B"/>
          <w:sz w:val="36"/>
          <w:szCs w:val="28"/>
          <w:lang w:bidi="en-US"/>
        </w:rPr>
      </w:pPr>
    </w:p>
    <w:p w14:paraId="1C0C87F6" w14:textId="794C5618" w:rsidR="00C35C60" w:rsidRDefault="00C35C60" w:rsidP="00083FE3">
      <w:r w:rsidRPr="00C35C60">
        <w:t xml:space="preserve">The PI is responsible for maintaining investigational product accountability. The PI may designate or delegate this task to a Research Pharmacist who will maintain accountability, documentation and control of the investigational product inventory used from the time the investigational product is first received at the site until final disposition. Refer to section </w:t>
      </w:r>
      <w:r w:rsidR="00481431">
        <w:fldChar w:fldCharType="begin"/>
      </w:r>
      <w:r w:rsidR="00481431">
        <w:instrText xml:space="preserve"> REF _Ref224648808 \r \h </w:instrText>
      </w:r>
      <w:r w:rsidR="00481431">
        <w:fldChar w:fldCharType="separate"/>
      </w:r>
      <w:r w:rsidR="00481431">
        <w:t xml:space="preserve">3.2. </w:t>
      </w:r>
      <w:r w:rsidR="00481431">
        <w:fldChar w:fldCharType="end"/>
      </w:r>
      <w:r w:rsidRPr="00C35C60">
        <w:t>for additional information</w:t>
      </w:r>
      <w:r w:rsidR="007F6219">
        <w:t>.</w:t>
      </w:r>
    </w:p>
    <w:p w14:paraId="61486644" w14:textId="77777777" w:rsidR="00BE7CDD" w:rsidRPr="00BE7CDD" w:rsidRDefault="00BE7CDD" w:rsidP="00083FE3">
      <w:pPr>
        <w:pStyle w:val="ListHeader"/>
        <w:numPr>
          <w:ilvl w:val="0"/>
          <w:numId w:val="0"/>
        </w:numPr>
        <w:rPr>
          <w:vanish/>
        </w:rPr>
      </w:pPr>
      <w:bookmarkStart w:id="64" w:name="_Toc22044456"/>
      <w:bookmarkStart w:id="65" w:name="_Toc22044540"/>
      <w:bookmarkStart w:id="66" w:name="_Toc25150784"/>
      <w:bookmarkStart w:id="67" w:name="_Toc25151390"/>
      <w:bookmarkStart w:id="68" w:name="3.1_Ordering_and_Receipt_of_Study_Produc"/>
      <w:bookmarkStart w:id="69" w:name="_Toc25151391"/>
      <w:bookmarkEnd w:id="64"/>
      <w:bookmarkEnd w:id="65"/>
      <w:bookmarkEnd w:id="66"/>
      <w:bookmarkEnd w:id="67"/>
      <w:bookmarkEnd w:id="68"/>
    </w:p>
    <w:p w14:paraId="67F511D7" w14:textId="335F1228" w:rsidR="00FF3B71" w:rsidRPr="00E87067" w:rsidRDefault="00FF3B71" w:rsidP="00ED012E">
      <w:pPr>
        <w:pStyle w:val="Heading3b"/>
      </w:pPr>
      <w:r w:rsidRPr="00E87067">
        <w:t xml:space="preserve">Ordering and Receipt of </w:t>
      </w:r>
      <w:r w:rsidR="009B3AA1">
        <w:t>Investigational</w:t>
      </w:r>
      <w:r w:rsidRPr="00E87067">
        <w:t xml:space="preserve"> Product</w:t>
      </w:r>
      <w:bookmarkEnd w:id="69"/>
    </w:p>
    <w:p w14:paraId="155EADA2" w14:textId="139035B1" w:rsidR="00CD0695" w:rsidRDefault="00CD0695" w:rsidP="00B85880">
      <w:pPr>
        <w:pStyle w:val="BodyText"/>
        <w:spacing w:before="116"/>
      </w:pPr>
      <w:r>
        <w:t>For most</w:t>
      </w:r>
      <w:r w:rsidR="00B16158">
        <w:t xml:space="preserve"> of the</w:t>
      </w:r>
      <w:r>
        <w:t xml:space="preserve"> DMID studies conducted under</w:t>
      </w:r>
      <w:r w:rsidR="0018145A">
        <w:t xml:space="preserve"> the</w:t>
      </w:r>
      <w:r>
        <w:t xml:space="preserve"> DMID-held INDs, </w:t>
      </w:r>
      <w:r w:rsidR="009B3AA1">
        <w:t>investigational</w:t>
      </w:r>
      <w:r>
        <w:t xml:space="preserve"> </w:t>
      </w:r>
      <w:r w:rsidR="002B119D">
        <w:t>products</w:t>
      </w:r>
      <w:r>
        <w:t xml:space="preserve"> will be supplied CMS. Less frequently, </w:t>
      </w:r>
      <w:r w:rsidR="002B119D">
        <w:t>products are</w:t>
      </w:r>
      <w:r>
        <w:t xml:space="preserve"> supplied directly from the manufacturer, purchased commercially through a wholesaler, or obtained through the hospital/institutional pharmacy. </w:t>
      </w:r>
    </w:p>
    <w:p w14:paraId="34E5CC0B" w14:textId="39260E8F" w:rsidR="00FF3B71" w:rsidRPr="00E87067" w:rsidRDefault="00FF3B71" w:rsidP="00E87067">
      <w:r w:rsidRPr="00E87067">
        <w:t>The following section describes expectations regardless of the supplier.</w:t>
      </w:r>
    </w:p>
    <w:p w14:paraId="6ED18AE6" w14:textId="41587300" w:rsidR="00FF3B71" w:rsidRPr="00E87067" w:rsidRDefault="009B3AA1" w:rsidP="007528C7">
      <w:pPr>
        <w:pStyle w:val="ListStyle3"/>
      </w:pPr>
      <w:bookmarkStart w:id="70" w:name="3.1.1_Study_Product_Ordering"/>
      <w:bookmarkStart w:id="71" w:name="_Toc25151392"/>
      <w:bookmarkEnd w:id="70"/>
      <w:r>
        <w:t>Investigational</w:t>
      </w:r>
      <w:r w:rsidR="00FF3B71" w:rsidRPr="00E87067">
        <w:t xml:space="preserve"> Product Ordering</w:t>
      </w:r>
      <w:bookmarkEnd w:id="71"/>
    </w:p>
    <w:p w14:paraId="77CA8FA3" w14:textId="403A8B55" w:rsidR="00FF3B71" w:rsidRPr="00E87067" w:rsidRDefault="0018145A" w:rsidP="007528C7">
      <w:pPr>
        <w:pStyle w:val="ListParagraph2"/>
        <w:ind w:left="1080"/>
      </w:pPr>
      <w:r>
        <w:t xml:space="preserve">The </w:t>
      </w:r>
      <w:r w:rsidR="00FF3B71" w:rsidRPr="00E87067">
        <w:t xml:space="preserve">DMID must be provided with the following documents before </w:t>
      </w:r>
      <w:r w:rsidR="009B3AA1">
        <w:t>investigational</w:t>
      </w:r>
      <w:r w:rsidR="00FF3B71" w:rsidRPr="00E87067">
        <w:t xml:space="preserve"> product can be shipped to a clinical research site:</w:t>
      </w:r>
    </w:p>
    <w:p w14:paraId="30F56A9C" w14:textId="77777777" w:rsidR="00FF3B71" w:rsidRPr="00E87067" w:rsidRDefault="00FF3B71" w:rsidP="00C166FD">
      <w:pPr>
        <w:pStyle w:val="ListParagraph2"/>
        <w:numPr>
          <w:ilvl w:val="0"/>
          <w:numId w:val="9"/>
        </w:numPr>
        <w:ind w:left="1440"/>
      </w:pPr>
      <w:r w:rsidRPr="00E87067">
        <w:t>IRB approval</w:t>
      </w:r>
    </w:p>
    <w:p w14:paraId="5207A907" w14:textId="77777777" w:rsidR="00FF3B71" w:rsidRPr="00E87067" w:rsidRDefault="00FF3B71" w:rsidP="00C166FD">
      <w:pPr>
        <w:pStyle w:val="ListParagraph2"/>
        <w:numPr>
          <w:ilvl w:val="0"/>
          <w:numId w:val="9"/>
        </w:numPr>
        <w:ind w:left="1440"/>
      </w:pPr>
      <w:r w:rsidRPr="00E87067">
        <w:t>Form FDA 1572/ Investigator Agreement or Investigator of Record (IOR) Form</w:t>
      </w:r>
    </w:p>
    <w:p w14:paraId="0AEC60E4" w14:textId="77777777" w:rsidR="00FF3B71" w:rsidRPr="00E87067" w:rsidRDefault="00FF3B71" w:rsidP="00C166FD">
      <w:pPr>
        <w:pStyle w:val="ListParagraph2"/>
        <w:numPr>
          <w:ilvl w:val="0"/>
          <w:numId w:val="9"/>
        </w:numPr>
        <w:ind w:left="1440"/>
      </w:pPr>
      <w:r w:rsidRPr="00E87067">
        <w:t>PI curriculum vitae (CV)</w:t>
      </w:r>
    </w:p>
    <w:p w14:paraId="294DBB29" w14:textId="658B47DA" w:rsidR="00FF3B71" w:rsidRPr="00E87067" w:rsidRDefault="0018145A" w:rsidP="007528C7">
      <w:pPr>
        <w:pStyle w:val="ListParagraph2"/>
        <w:ind w:left="1080"/>
      </w:pPr>
      <w:r>
        <w:t xml:space="preserve">The </w:t>
      </w:r>
      <w:r w:rsidR="00FF3B71" w:rsidRPr="00E87067">
        <w:t>DMID or its designee will issue a site activation memorandum, if applicable, once all the documentation and internal approvals are in place.</w:t>
      </w:r>
    </w:p>
    <w:p w14:paraId="2611CD71" w14:textId="223DC4DB" w:rsidR="00FF3B71" w:rsidRPr="00E87067" w:rsidRDefault="00FF3B71" w:rsidP="007528C7">
      <w:pPr>
        <w:pStyle w:val="ListParagraph2"/>
        <w:ind w:left="1080"/>
      </w:pPr>
      <w:r w:rsidRPr="00E87067">
        <w:lastRenderedPageBreak/>
        <w:t xml:space="preserve">An appropriate communication plan must be developed between the product supplier and the </w:t>
      </w:r>
      <w:r w:rsidR="008958E3">
        <w:t>clinical</w:t>
      </w:r>
      <w:r w:rsidRPr="00E87067">
        <w:t xml:space="preserve"> site to facilitate </w:t>
      </w:r>
      <w:r w:rsidR="009B3AA1">
        <w:t>investigational</w:t>
      </w:r>
      <w:r w:rsidRPr="00E87067">
        <w:t xml:space="preserve"> product ordering and receipt. This plan should include contact individuals, phone numbers, fax numbers, and e-mail addresses, as appropriate. This information is usually included in the MOP.</w:t>
      </w:r>
    </w:p>
    <w:p w14:paraId="14032EB6" w14:textId="790BEBF3" w:rsidR="00FF3B71" w:rsidRPr="00E87067" w:rsidRDefault="00FF3B71" w:rsidP="007528C7">
      <w:pPr>
        <w:pStyle w:val="ListParagraph2"/>
        <w:ind w:left="1080"/>
      </w:pPr>
      <w:r w:rsidRPr="00E87067">
        <w:t xml:space="preserve">Personnel responsible for </w:t>
      </w:r>
      <w:r w:rsidR="00342CFF" w:rsidRPr="00E87067">
        <w:t>ordering</w:t>
      </w:r>
      <w:r w:rsidRPr="00E87067">
        <w:t xml:space="preserve"> </w:t>
      </w:r>
      <w:r w:rsidR="009B3AA1">
        <w:t>investigational</w:t>
      </w:r>
      <w:r w:rsidRPr="00E87067">
        <w:t xml:space="preserve"> </w:t>
      </w:r>
      <w:r w:rsidR="00C357E9" w:rsidRPr="00E87067">
        <w:t>products</w:t>
      </w:r>
      <w:r w:rsidRPr="00E87067">
        <w:t xml:space="preserve"> must establish a written procedure to ensure that sufficient product supply is available to meet anticipated recruitment and subject needs for the duration of the </w:t>
      </w:r>
      <w:r w:rsidR="00456A1B">
        <w:t>investigation</w:t>
      </w:r>
      <w:r w:rsidRPr="00E87067">
        <w:t xml:space="preserve"> per </w:t>
      </w:r>
      <w:r w:rsidR="00F443A1" w:rsidRPr="00E87067">
        <w:t>specific</w:t>
      </w:r>
      <w:r w:rsidRPr="00E87067">
        <w:t xml:space="preserve"> protocol, to include estimates for any product loss due to suspected waste or compromise</w:t>
      </w:r>
      <w:r w:rsidR="002961D9" w:rsidRPr="00E87067">
        <w:t>.</w:t>
      </w:r>
    </w:p>
    <w:p w14:paraId="5923BA9B" w14:textId="7EACF2F2" w:rsidR="00FF3B71" w:rsidRPr="00E87067" w:rsidRDefault="00FF3B71" w:rsidP="007528C7">
      <w:pPr>
        <w:pStyle w:val="ListParagraph2"/>
        <w:ind w:left="1080"/>
      </w:pPr>
      <w:r w:rsidRPr="00E87067">
        <w:t xml:space="preserve">The Research Pharmacist (or designee, as determined by the PI) is responsible for ordering of </w:t>
      </w:r>
      <w:r w:rsidR="009B3AA1">
        <w:t>investigational</w:t>
      </w:r>
      <w:r w:rsidRPr="00E87067">
        <w:t xml:space="preserve"> product(s). If the PI (or designee, as determined by the PI) must be notified of inventory levels, the Research Pharmacist (or designee) must do so without breaking the blind. This process will be established by the PI and Research Pharmacist (or designee) based on current and forecasted usage patterns and storage capacity.</w:t>
      </w:r>
    </w:p>
    <w:p w14:paraId="4ABAB8E1" w14:textId="1D93CD4C" w:rsidR="00FF3B71" w:rsidRPr="00E87067" w:rsidRDefault="009B3AA1" w:rsidP="007528C7">
      <w:pPr>
        <w:pStyle w:val="ListStyle3"/>
      </w:pPr>
      <w:bookmarkStart w:id="72" w:name="3.1.2_Study_Product_Receipt"/>
      <w:bookmarkStart w:id="73" w:name="_Toc25151393"/>
      <w:bookmarkEnd w:id="72"/>
      <w:r>
        <w:t>Investigational</w:t>
      </w:r>
      <w:r w:rsidR="00FF3B71" w:rsidRPr="00E87067">
        <w:t xml:space="preserve"> Product Receipt</w:t>
      </w:r>
      <w:bookmarkEnd w:id="73"/>
    </w:p>
    <w:p w14:paraId="78537124" w14:textId="496B51BB" w:rsidR="00FF3B71" w:rsidRPr="00E87067" w:rsidRDefault="00F55CFF" w:rsidP="007528C7">
      <w:pPr>
        <w:pStyle w:val="ListParagraph2"/>
        <w:ind w:left="1080"/>
      </w:pPr>
      <w:r>
        <w:t>A</w:t>
      </w:r>
      <w:r w:rsidR="00FF3B71" w:rsidRPr="00E87067">
        <w:t>rrangements</w:t>
      </w:r>
      <w:r>
        <w:t>, as needed,</w:t>
      </w:r>
      <w:r w:rsidR="00FF3B71" w:rsidRPr="00E87067">
        <w:t xml:space="preserve"> must be made between the product supplier and the </w:t>
      </w:r>
      <w:r w:rsidR="009B3AA1">
        <w:t>investigational</w:t>
      </w:r>
      <w:r w:rsidR="00FF3B71" w:rsidRPr="00E87067">
        <w:t xml:space="preserve"> site to determine the most appropriate time, place, and individual to receive </w:t>
      </w:r>
      <w:r w:rsidR="009B3AA1">
        <w:t>investigational</w:t>
      </w:r>
      <w:r w:rsidR="00FF3B71" w:rsidRPr="00E87067">
        <w:t xml:space="preserve"> product at the site. These arrangements will be agreed upon prior to shipment or delivery of </w:t>
      </w:r>
      <w:r w:rsidR="009B3AA1">
        <w:t>investigational</w:t>
      </w:r>
      <w:r w:rsidR="00FF3B71" w:rsidRPr="00E87067">
        <w:t xml:space="preserve"> product</w:t>
      </w:r>
    </w:p>
    <w:p w14:paraId="0F787D1D" w14:textId="2C831F34" w:rsidR="00FF3B71" w:rsidRPr="00E87067" w:rsidRDefault="00FF3B71" w:rsidP="007528C7">
      <w:pPr>
        <w:pStyle w:val="ListParagraph2"/>
        <w:ind w:left="1080"/>
      </w:pPr>
      <w:r w:rsidRPr="00E87067">
        <w:t xml:space="preserve">Upon receipt of </w:t>
      </w:r>
      <w:r w:rsidR="009B3AA1">
        <w:t>investigational</w:t>
      </w:r>
      <w:r w:rsidRPr="00E87067">
        <w:t xml:space="preserve"> product(s), the Research Pharmacist must ensure that the information on the packing slip matches what has been sent</w:t>
      </w:r>
      <w:r w:rsidR="002961D9" w:rsidRPr="00E87067">
        <w:t xml:space="preserve"> </w:t>
      </w:r>
      <w:r w:rsidRPr="00E87067">
        <w:t xml:space="preserve">to the site and that </w:t>
      </w:r>
      <w:r w:rsidR="009B3AA1">
        <w:t>investigational</w:t>
      </w:r>
      <w:r w:rsidRPr="00E87067">
        <w:t xml:space="preserve"> product(s) sent are appropriate for the trial as described in the protocol and MOP</w:t>
      </w:r>
    </w:p>
    <w:p w14:paraId="1C646FD8" w14:textId="77777777" w:rsidR="00FF3B71" w:rsidRPr="00E87067" w:rsidRDefault="00FF3B71" w:rsidP="007528C7">
      <w:pPr>
        <w:pStyle w:val="ListParagraph2"/>
        <w:ind w:left="1080"/>
      </w:pPr>
      <w:r w:rsidRPr="00E87067">
        <w:t>At a minimum, the Research Pharmacist should verify the following:</w:t>
      </w:r>
    </w:p>
    <w:p w14:paraId="54236EAF" w14:textId="77777777" w:rsidR="00FF3B71" w:rsidRPr="00E87067" w:rsidRDefault="00FF3B71" w:rsidP="00C166FD">
      <w:pPr>
        <w:pStyle w:val="ListParagraph2"/>
        <w:numPr>
          <w:ilvl w:val="0"/>
          <w:numId w:val="13"/>
        </w:numPr>
        <w:ind w:left="1440"/>
      </w:pPr>
      <w:r w:rsidRPr="00E87067">
        <w:t>Product identification</w:t>
      </w:r>
    </w:p>
    <w:p w14:paraId="6E5A18C5" w14:textId="77777777" w:rsidR="00FF3B71" w:rsidRPr="00E87067" w:rsidRDefault="00FF3B71" w:rsidP="00C166FD">
      <w:pPr>
        <w:pStyle w:val="ListParagraph2"/>
        <w:numPr>
          <w:ilvl w:val="0"/>
          <w:numId w:val="13"/>
        </w:numPr>
        <w:ind w:left="1440"/>
      </w:pPr>
      <w:r w:rsidRPr="00E87067">
        <w:t>Date of shipment and date of receipt</w:t>
      </w:r>
    </w:p>
    <w:p w14:paraId="11753EAC" w14:textId="3C5C1258" w:rsidR="00FF3B71" w:rsidRPr="00E87067" w:rsidRDefault="00FF3B71" w:rsidP="00C166FD">
      <w:pPr>
        <w:pStyle w:val="ListParagraph2"/>
        <w:numPr>
          <w:ilvl w:val="0"/>
          <w:numId w:val="13"/>
        </w:numPr>
        <w:ind w:left="1440"/>
      </w:pPr>
      <w:r w:rsidRPr="00E87067">
        <w:t xml:space="preserve">Quantity of </w:t>
      </w:r>
      <w:r w:rsidR="006C7E66" w:rsidRPr="00E87067">
        <w:t>products</w:t>
      </w:r>
      <w:r w:rsidRPr="00E87067">
        <w:t xml:space="preserve"> received</w:t>
      </w:r>
    </w:p>
    <w:p w14:paraId="59F1FEC3" w14:textId="77777777" w:rsidR="00FF3B71" w:rsidRPr="00E87067" w:rsidRDefault="00FF3B71" w:rsidP="00C166FD">
      <w:pPr>
        <w:pStyle w:val="ListParagraph2"/>
        <w:numPr>
          <w:ilvl w:val="0"/>
          <w:numId w:val="13"/>
        </w:numPr>
        <w:ind w:left="1440"/>
      </w:pPr>
      <w:r w:rsidRPr="00E87067">
        <w:t>Lot number(s)</w:t>
      </w:r>
    </w:p>
    <w:p w14:paraId="33C7541C" w14:textId="77777777" w:rsidR="00FF3B71" w:rsidRPr="00E87067" w:rsidRDefault="00FF3B71" w:rsidP="00C166FD">
      <w:pPr>
        <w:pStyle w:val="ListParagraph2"/>
        <w:numPr>
          <w:ilvl w:val="0"/>
          <w:numId w:val="13"/>
        </w:numPr>
        <w:ind w:left="1440"/>
      </w:pPr>
      <w:r w:rsidRPr="00E87067">
        <w:t>Unique code numbers assigned, if applicable</w:t>
      </w:r>
    </w:p>
    <w:p w14:paraId="00F284C7" w14:textId="77777777" w:rsidR="00FF3B71" w:rsidRPr="00E87067" w:rsidRDefault="00FF3B71" w:rsidP="00C166FD">
      <w:pPr>
        <w:pStyle w:val="ListParagraph2"/>
        <w:numPr>
          <w:ilvl w:val="0"/>
          <w:numId w:val="13"/>
        </w:numPr>
        <w:ind w:left="1440"/>
      </w:pPr>
      <w:r w:rsidRPr="00E87067">
        <w:t>Expiration dates or re-test dates, if available</w:t>
      </w:r>
    </w:p>
    <w:p w14:paraId="72DC6828" w14:textId="33388726" w:rsidR="00FF3B71" w:rsidRPr="00E87067" w:rsidRDefault="00FF3B71" w:rsidP="00C166FD">
      <w:pPr>
        <w:pStyle w:val="ListParagraph2"/>
        <w:numPr>
          <w:ilvl w:val="0"/>
          <w:numId w:val="13"/>
        </w:numPr>
        <w:ind w:left="1440"/>
      </w:pPr>
      <w:r w:rsidRPr="00E87067">
        <w:t xml:space="preserve">Physical </w:t>
      </w:r>
      <w:r w:rsidR="006C7E66" w:rsidRPr="00E87067">
        <w:t>products are</w:t>
      </w:r>
      <w:r w:rsidRPr="00E87067">
        <w:t xml:space="preserve"> in good condition</w:t>
      </w:r>
    </w:p>
    <w:p w14:paraId="0C94CAA2" w14:textId="77777777" w:rsidR="00FF3B71" w:rsidRPr="00E87067" w:rsidRDefault="00FF3B71" w:rsidP="00C166FD">
      <w:pPr>
        <w:pStyle w:val="ListParagraph2"/>
        <w:numPr>
          <w:ilvl w:val="0"/>
          <w:numId w:val="13"/>
        </w:numPr>
        <w:ind w:left="1440"/>
      </w:pPr>
      <w:r w:rsidRPr="00E87067">
        <w:t>Storage conditions, especially temperature control, have been maintained</w:t>
      </w:r>
    </w:p>
    <w:p w14:paraId="432E70DC" w14:textId="0F704B07" w:rsidR="00FF3B71" w:rsidRPr="00E87067" w:rsidRDefault="00FF3B71" w:rsidP="007528C7">
      <w:pPr>
        <w:pStyle w:val="ListParagraph2"/>
        <w:ind w:left="1080"/>
      </w:pPr>
      <w:r w:rsidRPr="00E87067">
        <w:t xml:space="preserve">The Research Pharmacist must notify the supplier of the receipt and condition of the </w:t>
      </w:r>
      <w:r w:rsidR="009B3AA1">
        <w:t>investigational</w:t>
      </w:r>
      <w:r w:rsidRPr="00E87067">
        <w:t xml:space="preserve"> product(s), according to the manufacturer’s specified instructions. Temperature monitoring device(s) may be included with the shipment, along with instructions for reading and returning the device(s)</w:t>
      </w:r>
    </w:p>
    <w:p w14:paraId="67AC70C0" w14:textId="1E7C2D2C" w:rsidR="00FF3B71" w:rsidRPr="00E87067" w:rsidRDefault="00FF3B71" w:rsidP="007528C7">
      <w:pPr>
        <w:pStyle w:val="ListParagraph2"/>
        <w:ind w:left="1080"/>
      </w:pPr>
      <w:r w:rsidRPr="00E87067">
        <w:lastRenderedPageBreak/>
        <w:t xml:space="preserve">The </w:t>
      </w:r>
      <w:r w:rsidR="009B3AA1">
        <w:t>investigational</w:t>
      </w:r>
      <w:r w:rsidRPr="00E87067">
        <w:t xml:space="preserve"> product(s) can be placed in active inventory if they do not appear damaged or if there are no discrepancies or temperature deviations/excursions</w:t>
      </w:r>
    </w:p>
    <w:p w14:paraId="5D6E64DE" w14:textId="6F9388E8" w:rsidR="00FF3B71" w:rsidRPr="00E87067" w:rsidRDefault="00F55CFF" w:rsidP="007528C7">
      <w:pPr>
        <w:pStyle w:val="ListParagraph2"/>
        <w:ind w:left="1080"/>
      </w:pPr>
      <w:r>
        <w:t>When</w:t>
      </w:r>
      <w:r w:rsidR="00FF3B71" w:rsidRPr="00E87067">
        <w:t xml:space="preserve"> any discrepancies </w:t>
      </w:r>
      <w:r w:rsidR="00136652">
        <w:t xml:space="preserve">are </w:t>
      </w:r>
      <w:r w:rsidR="00FF3B71" w:rsidRPr="00E87067">
        <w:t xml:space="preserve">discovered upon receipt of the </w:t>
      </w:r>
      <w:r w:rsidR="009B3AA1">
        <w:t>investigational</w:t>
      </w:r>
      <w:r w:rsidR="00FF3B71" w:rsidRPr="00E87067">
        <w:t xml:space="preserve"> product(s), the supplier will be promptly notified, and this notification must be dated and documented by the Research Pharmacist in the shipping records</w:t>
      </w:r>
    </w:p>
    <w:p w14:paraId="6F2080CC" w14:textId="70D71858" w:rsidR="00FF3B71" w:rsidRPr="00E87067" w:rsidRDefault="00F55CFF" w:rsidP="007528C7">
      <w:pPr>
        <w:pStyle w:val="ListParagraph2"/>
        <w:ind w:left="1080"/>
      </w:pPr>
      <w:r>
        <w:t>When</w:t>
      </w:r>
      <w:r w:rsidR="00FF3B71" w:rsidRPr="00E87067">
        <w:t xml:space="preserve"> </w:t>
      </w:r>
      <w:r w:rsidR="00136652">
        <w:t xml:space="preserve">there is </w:t>
      </w:r>
      <w:r w:rsidR="00FF3B71" w:rsidRPr="00E87067">
        <w:t xml:space="preserve">any evidence of breakage, compromised storage or cold chain conditions (e.g., refrigerated items that are not refrigerated upon receipt), or suspicion of product tampering, the PST should be notified </w:t>
      </w:r>
      <w:r w:rsidR="00B217A4" w:rsidRPr="00E87067">
        <w:t>promptly,</w:t>
      </w:r>
      <w:r w:rsidR="00FF3B71" w:rsidRPr="00E87067">
        <w:t xml:space="preserve"> and details of the incident must be documented in the shipping records. The </w:t>
      </w:r>
      <w:r w:rsidR="009B3AA1">
        <w:t>investigational</w:t>
      </w:r>
      <w:r w:rsidR="00FF3B71" w:rsidRPr="00E87067">
        <w:t xml:space="preserve"> product must be quarantined (see section</w:t>
      </w:r>
      <w:r w:rsidR="00B0558E">
        <w:t xml:space="preserve"> </w:t>
      </w:r>
      <w:r w:rsidR="00B0558E">
        <w:fldChar w:fldCharType="begin"/>
      </w:r>
      <w:r w:rsidR="00B0558E">
        <w:instrText xml:space="preserve"> REF _Ref207332579 \r \h </w:instrText>
      </w:r>
      <w:r w:rsidR="00B0558E">
        <w:fldChar w:fldCharType="separate"/>
      </w:r>
      <w:r w:rsidR="00B0558E">
        <w:t xml:space="preserve">4.11. </w:t>
      </w:r>
      <w:r w:rsidR="00B0558E">
        <w:fldChar w:fldCharType="end"/>
      </w:r>
      <w:r w:rsidR="00FF3B71" w:rsidRPr="00E87067">
        <w:t>) and maintained under the correct storage conditions until further instructions are given</w:t>
      </w:r>
    </w:p>
    <w:p w14:paraId="4CF9FE61" w14:textId="0A859F28" w:rsidR="00FF3B71" w:rsidRPr="00E87067" w:rsidRDefault="00F55CFF" w:rsidP="007528C7">
      <w:pPr>
        <w:pStyle w:val="ListParagraph2"/>
        <w:ind w:left="1080"/>
      </w:pPr>
      <w:r>
        <w:t>When</w:t>
      </w:r>
      <w:r w:rsidR="00FF3B71" w:rsidRPr="00E87067">
        <w:t xml:space="preserve"> </w:t>
      </w:r>
      <w:r w:rsidR="00136652">
        <w:t xml:space="preserve">there are </w:t>
      </w:r>
      <w:r w:rsidR="00FF3B71" w:rsidRPr="00E87067">
        <w:t xml:space="preserve">any discrepancies with the </w:t>
      </w:r>
      <w:r w:rsidR="009B3AA1">
        <w:t>investigational</w:t>
      </w:r>
      <w:r w:rsidR="00FF3B71" w:rsidRPr="00E87067">
        <w:t xml:space="preserve"> product(s), the affected </w:t>
      </w:r>
      <w:r w:rsidR="009B3AA1">
        <w:t>investigational</w:t>
      </w:r>
      <w:r w:rsidR="00FF3B71" w:rsidRPr="00E87067">
        <w:t xml:space="preserve"> product may not be placed into active inventory or dispensed, until notification is received in writing</w:t>
      </w:r>
      <w:r w:rsidR="00111349">
        <w:t xml:space="preserve"> from</w:t>
      </w:r>
      <w:r w:rsidR="00D10C4C">
        <w:t xml:space="preserve"> the</w:t>
      </w:r>
      <w:r w:rsidR="00111349">
        <w:t xml:space="preserve"> DMID</w:t>
      </w:r>
      <w:r w:rsidR="00FF3B71" w:rsidRPr="00E87067">
        <w:t xml:space="preserve">, by email, or fax, that the </w:t>
      </w:r>
      <w:r w:rsidR="009B3AA1">
        <w:t>investigational</w:t>
      </w:r>
      <w:r w:rsidR="00FF3B71" w:rsidRPr="00E87067">
        <w:t xml:space="preserve"> product(s) may be safely used</w:t>
      </w:r>
    </w:p>
    <w:p w14:paraId="2DA0BB36" w14:textId="77777777" w:rsidR="00FF3B71" w:rsidRPr="00E87067" w:rsidRDefault="00FF3B71" w:rsidP="007528C7">
      <w:pPr>
        <w:pStyle w:val="ListParagraph2"/>
        <w:ind w:left="1080"/>
      </w:pPr>
      <w:r w:rsidRPr="00E87067">
        <w:t>The following shipping and receipt documentation should be retained:</w:t>
      </w:r>
    </w:p>
    <w:p w14:paraId="0A3AD6A5" w14:textId="77777777" w:rsidR="00FF3B71" w:rsidRPr="00E87067" w:rsidRDefault="00FF3B71" w:rsidP="00C166FD">
      <w:pPr>
        <w:pStyle w:val="ListParagraph2"/>
        <w:numPr>
          <w:ilvl w:val="0"/>
          <w:numId w:val="17"/>
        </w:numPr>
        <w:ind w:left="1440"/>
      </w:pPr>
      <w:r w:rsidRPr="00E87067">
        <w:t>Order forms</w:t>
      </w:r>
    </w:p>
    <w:p w14:paraId="0E492B1F" w14:textId="77777777" w:rsidR="00FF3B71" w:rsidRPr="00E87067" w:rsidRDefault="00FF3B71" w:rsidP="00C166FD">
      <w:pPr>
        <w:pStyle w:val="ListParagraph2"/>
        <w:numPr>
          <w:ilvl w:val="0"/>
          <w:numId w:val="16"/>
        </w:numPr>
        <w:ind w:left="1440"/>
      </w:pPr>
      <w:r w:rsidRPr="00E87067">
        <w:t>Packing slips, invoices and/or receipts upon delivery from the product supplier</w:t>
      </w:r>
    </w:p>
    <w:p w14:paraId="2807FA10" w14:textId="77777777" w:rsidR="00FF3B71" w:rsidRPr="00E87067" w:rsidRDefault="00FF3B71" w:rsidP="00C166FD">
      <w:pPr>
        <w:pStyle w:val="ListParagraph2"/>
        <w:numPr>
          <w:ilvl w:val="0"/>
          <w:numId w:val="16"/>
        </w:numPr>
        <w:ind w:left="1440"/>
      </w:pPr>
      <w:r w:rsidRPr="00E87067">
        <w:t>Any correspondence with the product supplier relating to the condition of the product upon receipt</w:t>
      </w:r>
    </w:p>
    <w:p w14:paraId="5510FB52" w14:textId="77777777" w:rsidR="00FF3B71" w:rsidRPr="00E87067" w:rsidRDefault="00FF3B71" w:rsidP="00C166FD">
      <w:pPr>
        <w:pStyle w:val="ListParagraph2"/>
        <w:numPr>
          <w:ilvl w:val="0"/>
          <w:numId w:val="16"/>
        </w:numPr>
        <w:ind w:left="1440"/>
      </w:pPr>
      <w:r w:rsidRPr="00E87067">
        <w:t>Temperature recording print outs, if applicable</w:t>
      </w:r>
    </w:p>
    <w:p w14:paraId="07866BE2" w14:textId="5343E97E" w:rsidR="00FF3B71" w:rsidRPr="00E87067" w:rsidRDefault="00FF3B71" w:rsidP="007528C7">
      <w:pPr>
        <w:pStyle w:val="ListParagraph2"/>
        <w:ind w:left="1080"/>
      </w:pPr>
      <w:r w:rsidRPr="00E87067">
        <w:t xml:space="preserve">The date/time and condition of the </w:t>
      </w:r>
      <w:r w:rsidR="009B3AA1">
        <w:t>investigational</w:t>
      </w:r>
      <w:r w:rsidRPr="00E87067">
        <w:t xml:space="preserve"> product upon arrival and before being placed into active inventory should be noted and documented in the shipping records</w:t>
      </w:r>
    </w:p>
    <w:p w14:paraId="4AE57094" w14:textId="372ABBD2" w:rsidR="00FF3B71" w:rsidRPr="00E87067" w:rsidRDefault="009B3AA1" w:rsidP="007528C7">
      <w:pPr>
        <w:pStyle w:val="ListParagraph2"/>
        <w:ind w:left="1080"/>
      </w:pPr>
      <w:r>
        <w:t>Investigational</w:t>
      </w:r>
      <w:r w:rsidR="00FF3B71" w:rsidRPr="00E87067">
        <w:t xml:space="preserve"> products must not be dispensed until they are properly </w:t>
      </w:r>
      <w:r w:rsidR="00B217A4" w:rsidRPr="00E87067">
        <w:t>inventoried,</w:t>
      </w:r>
      <w:r w:rsidR="00FF3B71" w:rsidRPr="00E87067">
        <w:t xml:space="preserve"> and the quality of the product is verified by authorized personnel</w:t>
      </w:r>
    </w:p>
    <w:p w14:paraId="5F1CAF70" w14:textId="6ECC8453" w:rsidR="00FF3B71" w:rsidRPr="00E87067" w:rsidRDefault="009B3AA1" w:rsidP="007528C7">
      <w:pPr>
        <w:pStyle w:val="Heading3b"/>
      </w:pPr>
      <w:bookmarkStart w:id="74" w:name="_Toc22044460"/>
      <w:bookmarkStart w:id="75" w:name="_Toc22044544"/>
      <w:bookmarkStart w:id="76" w:name="_Toc25150788"/>
      <w:bookmarkStart w:id="77" w:name="_Toc25151394"/>
      <w:bookmarkStart w:id="78" w:name="3.2_Study_Product_Accountability"/>
      <w:bookmarkStart w:id="79" w:name="_Toc25151395"/>
      <w:bookmarkStart w:id="80" w:name="_Ref224648808"/>
      <w:bookmarkEnd w:id="74"/>
      <w:bookmarkEnd w:id="75"/>
      <w:bookmarkEnd w:id="76"/>
      <w:bookmarkEnd w:id="77"/>
      <w:bookmarkEnd w:id="78"/>
      <w:r>
        <w:t>Investigational</w:t>
      </w:r>
      <w:r w:rsidR="00FF3B71" w:rsidRPr="00E87067">
        <w:t xml:space="preserve"> Product Accountability</w:t>
      </w:r>
      <w:bookmarkEnd w:id="79"/>
      <w:bookmarkEnd w:id="80"/>
    </w:p>
    <w:p w14:paraId="6A833513" w14:textId="75E9E59E" w:rsidR="00FF3B71" w:rsidRPr="00AF29D1" w:rsidRDefault="00FF3B71" w:rsidP="00436CEB">
      <w:pPr>
        <w:pStyle w:val="ListParagraph"/>
        <w:numPr>
          <w:ilvl w:val="0"/>
          <w:numId w:val="19"/>
        </w:numPr>
      </w:pPr>
      <w:r w:rsidRPr="00AF29D1">
        <w:t xml:space="preserve">Although the PI is responsible for ordering and accountability of all </w:t>
      </w:r>
      <w:r w:rsidR="009B3AA1" w:rsidRPr="00AF29D1">
        <w:t>investigational</w:t>
      </w:r>
      <w:r w:rsidRPr="00AF29D1">
        <w:t xml:space="preserve"> products in</w:t>
      </w:r>
      <w:r w:rsidR="005E0BEC" w:rsidRPr="00AF29D1">
        <w:t xml:space="preserve"> </w:t>
      </w:r>
      <w:r w:rsidRPr="00AF29D1">
        <w:t xml:space="preserve">his/her clinical trial, the Research Pharmacist can be delegated this responsibility when he or she accepts/receives the </w:t>
      </w:r>
      <w:r w:rsidR="009B3AA1" w:rsidRPr="00AF29D1">
        <w:t>investigational</w:t>
      </w:r>
      <w:r w:rsidRPr="00AF29D1">
        <w:t xml:space="preserve"> product</w:t>
      </w:r>
      <w:r w:rsidR="00215B40">
        <w:t>.</w:t>
      </w:r>
      <w:r w:rsidR="00436CEB">
        <w:br/>
      </w:r>
    </w:p>
    <w:p w14:paraId="46980E7E" w14:textId="686D026A" w:rsidR="00FF3B71" w:rsidRPr="00E87067" w:rsidRDefault="00FF3B71" w:rsidP="00436CEB">
      <w:pPr>
        <w:pStyle w:val="ListParagraph"/>
        <w:ind w:left="720"/>
      </w:pPr>
      <w:r>
        <w:t xml:space="preserve">Accountability should be maintained for </w:t>
      </w:r>
      <w:r w:rsidR="009B3AA1">
        <w:t>investigational</w:t>
      </w:r>
      <w:r>
        <w:t xml:space="preserve"> products supplied for a</w:t>
      </w:r>
      <w:r w:rsidR="00215B40">
        <w:t>n</w:t>
      </w:r>
      <w:r>
        <w:t xml:space="preserve"> </w:t>
      </w:r>
      <w:r w:rsidR="009B3AA1">
        <w:t>investigational</w:t>
      </w:r>
      <w:r>
        <w:t xml:space="preserve">-specific protocol, whether they are investigational or commercially obtained. Accountability of </w:t>
      </w:r>
      <w:r w:rsidR="009B3AA1">
        <w:t>investigational</w:t>
      </w:r>
      <w:r>
        <w:t xml:space="preserve"> product must be documented from the time of initial product receipt through final disposition</w:t>
      </w:r>
      <w:r w:rsidR="00436CEB">
        <w:t>.</w:t>
      </w:r>
      <w:r w:rsidR="00436CEB">
        <w:br/>
      </w:r>
    </w:p>
    <w:p w14:paraId="16D5A13C" w14:textId="1C14EB2A" w:rsidR="00FF3B71" w:rsidRPr="00E87067" w:rsidRDefault="00FF3B71" w:rsidP="00436CEB">
      <w:pPr>
        <w:pStyle w:val="ListParagraph"/>
        <w:ind w:left="720"/>
      </w:pPr>
      <w:r>
        <w:t>Each time a</w:t>
      </w:r>
      <w:r w:rsidR="50CB587B">
        <w:t>n</w:t>
      </w:r>
      <w:r>
        <w:t xml:space="preserve"> </w:t>
      </w:r>
      <w:r w:rsidR="009B3AA1">
        <w:t>investigational</w:t>
      </w:r>
      <w:r>
        <w:t xml:space="preserve"> product is received from the </w:t>
      </w:r>
      <w:r w:rsidR="3D4288E5">
        <w:t xml:space="preserve">CMS </w:t>
      </w:r>
      <w:r>
        <w:t xml:space="preserve">or other source, dispensed to a </w:t>
      </w:r>
      <w:r w:rsidR="05517041">
        <w:t>participant</w:t>
      </w:r>
      <w:r>
        <w:t xml:space="preserve">, </w:t>
      </w:r>
      <w:r w:rsidR="42039AD4">
        <w:t xml:space="preserve">and/or </w:t>
      </w:r>
      <w:r>
        <w:t>returned</w:t>
      </w:r>
      <w:r w:rsidR="13FC8369">
        <w:t xml:space="preserve"> to the CMS or other source</w:t>
      </w:r>
      <w:r>
        <w:t xml:space="preserve"> or destroyed, </w:t>
      </w:r>
      <w:r w:rsidR="77C7D063">
        <w:t xml:space="preserve">it must be documented on the Investigational Product Accountability </w:t>
      </w:r>
      <w:r w:rsidR="6E6FFCAB">
        <w:t>Log</w:t>
      </w:r>
      <w:r w:rsidR="77C7D063">
        <w:t>.</w:t>
      </w:r>
      <w:r w:rsidR="573D670B">
        <w:t xml:space="preserve"> </w:t>
      </w:r>
    </w:p>
    <w:p w14:paraId="3E4B41EA" w14:textId="17B1EB5F" w:rsidR="00FF3B71" w:rsidRPr="00E87067" w:rsidRDefault="00FF3B71" w:rsidP="00436CEB">
      <w:pPr>
        <w:pStyle w:val="ListParagraph"/>
        <w:ind w:left="720"/>
      </w:pPr>
    </w:p>
    <w:p w14:paraId="345A2CF1" w14:textId="15FED056" w:rsidR="00FF3B71" w:rsidRDefault="00FF3B71" w:rsidP="00436CEB">
      <w:pPr>
        <w:pStyle w:val="ListParagraph"/>
        <w:spacing w:beforeLines="160" w:before="384" w:line="240" w:lineRule="auto"/>
        <w:ind w:left="720"/>
      </w:pPr>
      <w:r>
        <w:lastRenderedPageBreak/>
        <w:t xml:space="preserve">All entries on the </w:t>
      </w:r>
      <w:r w:rsidR="1099921B">
        <w:t xml:space="preserve">Investigational Product </w:t>
      </w:r>
      <w:r w:rsidR="67E930AD">
        <w:t>A</w:t>
      </w:r>
      <w:r>
        <w:t xml:space="preserve">ccountability </w:t>
      </w:r>
      <w:r w:rsidR="66A913AA">
        <w:t>L</w:t>
      </w:r>
      <w:r>
        <w:t xml:space="preserve">og must match the </w:t>
      </w:r>
      <w:r w:rsidR="517AA64A">
        <w:t xml:space="preserve">dispensing activity. </w:t>
      </w:r>
      <w:r>
        <w:t xml:space="preserve">The </w:t>
      </w:r>
      <w:r w:rsidR="009B3AA1">
        <w:t>investigational</w:t>
      </w:r>
      <w:r>
        <w:t xml:space="preserve"> product accountability log may take the form of a continuous electronic record or a paper document</w:t>
      </w:r>
      <w:r w:rsidR="00436CEB">
        <w:t>.</w:t>
      </w:r>
    </w:p>
    <w:p w14:paraId="4F25EA68" w14:textId="77777777" w:rsidR="00AC4473" w:rsidRPr="00E87067" w:rsidRDefault="00AC4473" w:rsidP="00215B40">
      <w:pPr>
        <w:pStyle w:val="ListParagraph"/>
        <w:spacing w:beforeLines="160" w:before="384" w:line="240" w:lineRule="auto"/>
        <w:ind w:left="1080"/>
      </w:pPr>
    </w:p>
    <w:p w14:paraId="027AF38B" w14:textId="01FD5EAE" w:rsidR="00FF3B71" w:rsidRPr="00E87067" w:rsidRDefault="006279F8" w:rsidP="00436CEB">
      <w:pPr>
        <w:pStyle w:val="ListParagraph"/>
        <w:numPr>
          <w:ilvl w:val="0"/>
          <w:numId w:val="22"/>
        </w:numPr>
        <w:spacing w:beforeLines="160" w:before="384" w:line="240" w:lineRule="auto"/>
      </w:pPr>
      <w:r>
        <w:t>When</w:t>
      </w:r>
      <w:r w:rsidR="00FF3B71">
        <w:t xml:space="preserve"> a paper document is used, all entries must be made in dark </w:t>
      </w:r>
      <w:r w:rsidR="72F8E8A7">
        <w:t xml:space="preserve">indelible </w:t>
      </w:r>
      <w:r w:rsidR="00FF3B71">
        <w:t xml:space="preserve">ink. Never use </w:t>
      </w:r>
      <w:r w:rsidR="00B217A4">
        <w:t xml:space="preserve">a </w:t>
      </w:r>
      <w:r w:rsidR="00FF3B71">
        <w:t>pencil to write an entry. Never use correction fluid or obliterate entries that require correction. Never destroy or re-write original comments, even if they require error correction</w:t>
      </w:r>
      <w:r w:rsidR="0004105A">
        <w:t>.</w:t>
      </w:r>
    </w:p>
    <w:p w14:paraId="72240512" w14:textId="06CDEE9E" w:rsidR="41272327" w:rsidRDefault="00FF3B71" w:rsidP="007528C7">
      <w:pPr>
        <w:pStyle w:val="ListParagraph"/>
        <w:ind w:left="720"/>
      </w:pPr>
      <w:r>
        <w:t xml:space="preserve">Entries/corrections should be made consistent with </w:t>
      </w:r>
      <w:r w:rsidR="00113BBB">
        <w:fldChar w:fldCharType="begin"/>
      </w:r>
      <w:r w:rsidR="00113BBB">
        <w:instrText xml:space="preserve"> REF _Ref224650769 \r \h </w:instrText>
      </w:r>
      <w:r w:rsidR="00113BBB">
        <w:fldChar w:fldCharType="separate"/>
      </w:r>
      <w:r w:rsidR="00113BBB">
        <w:t xml:space="preserve">10.16. </w:t>
      </w:r>
      <w:r w:rsidR="00113BBB">
        <w:fldChar w:fldCharType="end"/>
      </w:r>
      <w:r>
        <w:t>. For any change or correction to an entry or document, draw a single line through the incorrect information, initial, date, and insert the correct information. If necessary, an explanation of correction, or other relevant comment, may be written in an appropriate comment section on the form or on the reverse of the paper document, clearly defining which entry the comment refers to or addresses. In addition, the original entry should not be obscured</w:t>
      </w:r>
      <w:r w:rsidR="4ECBA012">
        <w:t>.</w:t>
      </w:r>
    </w:p>
    <w:p w14:paraId="2C44D878" w14:textId="2547E69C" w:rsidR="001F182E" w:rsidRPr="00E87067" w:rsidRDefault="00F55CFF" w:rsidP="007528C7">
      <w:pPr>
        <w:pStyle w:val="ListParagraph"/>
        <w:ind w:left="720"/>
      </w:pPr>
      <w:r>
        <w:t>When</w:t>
      </w:r>
      <w:r w:rsidR="00FF3B71">
        <w:t xml:space="preserve"> an electronic record is used, it must have an audit trail for all entries and/or corrections and</w:t>
      </w:r>
      <w:r w:rsidR="001F182E">
        <w:t xml:space="preserve"> </w:t>
      </w:r>
      <w:r w:rsidR="00FF3B71">
        <w:t>should be retrievable upon request for monitoring or auditing</w:t>
      </w:r>
    </w:p>
    <w:p w14:paraId="77ABCD45" w14:textId="52AFBE67" w:rsidR="41272327" w:rsidRDefault="41272327" w:rsidP="007528C7">
      <w:pPr>
        <w:pStyle w:val="ListParagraph"/>
        <w:ind w:left="720"/>
      </w:pPr>
    </w:p>
    <w:p w14:paraId="76374E2C" w14:textId="5967C1FC" w:rsidR="00FF3B71" w:rsidRPr="00E87067" w:rsidRDefault="00FF3B71" w:rsidP="007528C7">
      <w:pPr>
        <w:pStyle w:val="ListParagraph"/>
        <w:ind w:left="720"/>
      </w:pPr>
      <w:r>
        <w:t xml:space="preserve">Information in the </w:t>
      </w:r>
      <w:r w:rsidR="009B3AA1">
        <w:t>investigational</w:t>
      </w:r>
      <w:r>
        <w:t xml:space="preserve"> product accountability log should include, but</w:t>
      </w:r>
      <w:r w:rsidR="00EE017C">
        <w:t xml:space="preserve"> is</w:t>
      </w:r>
      <w:r>
        <w:t xml:space="preserve"> not limited to the following:</w:t>
      </w:r>
    </w:p>
    <w:p w14:paraId="42BED3F6" w14:textId="77777777" w:rsidR="00FF3B71" w:rsidRPr="00E87067" w:rsidRDefault="00FF3B71" w:rsidP="00C166FD">
      <w:pPr>
        <w:pStyle w:val="ListParagraph2"/>
        <w:numPr>
          <w:ilvl w:val="0"/>
          <w:numId w:val="25"/>
        </w:numPr>
        <w:ind w:left="1440"/>
      </w:pPr>
      <w:r w:rsidRPr="00E87067">
        <w:t>DMID protocol number</w:t>
      </w:r>
    </w:p>
    <w:p w14:paraId="2DD66673" w14:textId="40EDBFBC" w:rsidR="00FF3B71" w:rsidRPr="00E87067" w:rsidRDefault="00FF3B71" w:rsidP="00C166FD">
      <w:pPr>
        <w:pStyle w:val="ListParagraph2"/>
        <w:numPr>
          <w:ilvl w:val="0"/>
          <w:numId w:val="25"/>
        </w:numPr>
        <w:ind w:left="1440"/>
      </w:pPr>
      <w:r w:rsidRPr="00E87067">
        <w:t xml:space="preserve">Name, dosage form, strength of the </w:t>
      </w:r>
      <w:r w:rsidR="009B3AA1">
        <w:t>investigational</w:t>
      </w:r>
      <w:r w:rsidRPr="00E87067">
        <w:t xml:space="preserve"> product</w:t>
      </w:r>
    </w:p>
    <w:p w14:paraId="15251AB4" w14:textId="77777777" w:rsidR="00FF3B71" w:rsidRPr="00E87067" w:rsidRDefault="00FF3B71" w:rsidP="00C166FD">
      <w:pPr>
        <w:pStyle w:val="ListParagraph2"/>
        <w:numPr>
          <w:ilvl w:val="0"/>
          <w:numId w:val="25"/>
        </w:numPr>
        <w:ind w:left="1440"/>
      </w:pPr>
      <w:r w:rsidRPr="00E87067">
        <w:t>Manufacturer or other source</w:t>
      </w:r>
    </w:p>
    <w:p w14:paraId="4B7E2576" w14:textId="77777777" w:rsidR="00FF3B71" w:rsidRPr="00E87067" w:rsidRDefault="00FF3B71" w:rsidP="00C166FD">
      <w:pPr>
        <w:pStyle w:val="ListParagraph2"/>
        <w:numPr>
          <w:ilvl w:val="0"/>
          <w:numId w:val="25"/>
        </w:numPr>
        <w:ind w:left="1440"/>
      </w:pPr>
      <w:r w:rsidRPr="00E87067">
        <w:t>Control, lot number, or other identification number</w:t>
      </w:r>
    </w:p>
    <w:p w14:paraId="416FF0F1" w14:textId="7FAD388D" w:rsidR="00FF3B71" w:rsidRPr="00E87067" w:rsidRDefault="00FF3B71" w:rsidP="00C166FD">
      <w:pPr>
        <w:pStyle w:val="ListParagraph2"/>
        <w:numPr>
          <w:ilvl w:val="0"/>
          <w:numId w:val="25"/>
        </w:numPr>
        <w:ind w:left="1440"/>
      </w:pPr>
      <w:r w:rsidRPr="00E87067">
        <w:t xml:space="preserve">Expiration and/or retest date </w:t>
      </w:r>
    </w:p>
    <w:p w14:paraId="7E7B158E" w14:textId="00ED0BE8" w:rsidR="00FF3B71" w:rsidRPr="00E87067" w:rsidRDefault="00FF3B71" w:rsidP="00C166FD">
      <w:pPr>
        <w:pStyle w:val="ListParagraph2"/>
        <w:numPr>
          <w:ilvl w:val="0"/>
          <w:numId w:val="25"/>
        </w:numPr>
        <w:ind w:left="1440"/>
      </w:pPr>
      <w:r w:rsidRPr="00E87067">
        <w:t xml:space="preserve">Date of receipt of the </w:t>
      </w:r>
      <w:r w:rsidR="009B3AA1">
        <w:t>investigational</w:t>
      </w:r>
      <w:r w:rsidRPr="00E87067">
        <w:t xml:space="preserve"> product</w:t>
      </w:r>
    </w:p>
    <w:p w14:paraId="52F6D7C7" w14:textId="77777777" w:rsidR="00FF3B71" w:rsidRPr="00E87067" w:rsidRDefault="00FF3B71" w:rsidP="00C166FD">
      <w:pPr>
        <w:pStyle w:val="ListParagraph2"/>
        <w:numPr>
          <w:ilvl w:val="0"/>
          <w:numId w:val="25"/>
        </w:numPr>
        <w:ind w:left="1440"/>
      </w:pPr>
      <w:r w:rsidRPr="00E87067">
        <w:t>Quantity received from supplier</w:t>
      </w:r>
    </w:p>
    <w:p w14:paraId="62C0DC69" w14:textId="77777777" w:rsidR="00FF3B71" w:rsidRPr="00E87067" w:rsidRDefault="00FF3B71" w:rsidP="00C166FD">
      <w:pPr>
        <w:pStyle w:val="ListParagraph2"/>
        <w:numPr>
          <w:ilvl w:val="0"/>
          <w:numId w:val="25"/>
        </w:numPr>
        <w:ind w:left="1440"/>
      </w:pPr>
      <w:r w:rsidRPr="00E87067">
        <w:t>Subject identification number</w:t>
      </w:r>
    </w:p>
    <w:p w14:paraId="1BD4904C" w14:textId="77777777" w:rsidR="00FF3B71" w:rsidRPr="00E87067" w:rsidRDefault="00FF3B71" w:rsidP="00C166FD">
      <w:pPr>
        <w:pStyle w:val="ListParagraph2"/>
        <w:numPr>
          <w:ilvl w:val="0"/>
          <w:numId w:val="25"/>
        </w:numPr>
        <w:ind w:left="1440"/>
      </w:pPr>
      <w:r w:rsidRPr="00E87067">
        <w:t>Quantity dispensed as amount or dose per subject</w:t>
      </w:r>
    </w:p>
    <w:p w14:paraId="44B07984" w14:textId="4DA5386B" w:rsidR="00FF3B71" w:rsidRPr="00E87067" w:rsidRDefault="00FF3B71" w:rsidP="00C166FD">
      <w:pPr>
        <w:pStyle w:val="ListParagraph2"/>
        <w:numPr>
          <w:ilvl w:val="0"/>
          <w:numId w:val="25"/>
        </w:numPr>
        <w:ind w:left="1440"/>
      </w:pPr>
      <w:r w:rsidRPr="00E87067">
        <w:t xml:space="preserve">Balance of </w:t>
      </w:r>
      <w:r w:rsidR="009B3AA1">
        <w:t>investigational</w:t>
      </w:r>
      <w:r w:rsidRPr="00E87067">
        <w:t xml:space="preserve"> </w:t>
      </w:r>
      <w:r w:rsidR="006C7E66" w:rsidRPr="00E87067">
        <w:t>products</w:t>
      </w:r>
      <w:r w:rsidRPr="00E87067">
        <w:t xml:space="preserve"> currently available</w:t>
      </w:r>
    </w:p>
    <w:p w14:paraId="4132A8DA" w14:textId="456CB75A" w:rsidR="00FF3B71" w:rsidRPr="00E87067" w:rsidRDefault="00FF3B71" w:rsidP="00C166FD">
      <w:pPr>
        <w:pStyle w:val="ListParagraph2"/>
        <w:numPr>
          <w:ilvl w:val="0"/>
          <w:numId w:val="25"/>
        </w:numPr>
        <w:ind w:left="1440"/>
      </w:pPr>
      <w:r w:rsidRPr="00E87067">
        <w:t>Disposition of drug if not dispensed to a</w:t>
      </w:r>
      <w:r w:rsidR="0004105A">
        <w:t>n</w:t>
      </w:r>
      <w:r w:rsidRPr="00E87067">
        <w:t xml:space="preserve"> </w:t>
      </w:r>
      <w:r w:rsidR="009B3AA1">
        <w:t>investigational</w:t>
      </w:r>
      <w:r w:rsidRPr="00E87067">
        <w:t xml:space="preserve"> subject (e.g. disposed/destroyed or returned to supplier as per protocol or MOP or as directed by</w:t>
      </w:r>
      <w:r w:rsidR="00D10C4C">
        <w:t xml:space="preserve"> the</w:t>
      </w:r>
      <w:r w:rsidRPr="00E87067">
        <w:t xml:space="preserve"> DMID)</w:t>
      </w:r>
    </w:p>
    <w:p w14:paraId="4F847C40" w14:textId="61BC0543" w:rsidR="00FF3B71" w:rsidRPr="00E87067" w:rsidRDefault="00FF3B71" w:rsidP="001E3DD6">
      <w:pPr>
        <w:pStyle w:val="ListParagraph"/>
        <w:ind w:left="1080"/>
      </w:pPr>
      <w:r>
        <w:t>Th</w:t>
      </w:r>
      <w:r w:rsidR="00274D7E">
        <w:t>e</w:t>
      </w:r>
      <w:r>
        <w:t xml:space="preserve"> </w:t>
      </w:r>
      <w:r w:rsidR="009B3AA1">
        <w:t>investigational</w:t>
      </w:r>
      <w:r w:rsidR="00274D7E">
        <w:t xml:space="preserve"> product accountability </w:t>
      </w:r>
      <w:r>
        <w:t xml:space="preserve">log should be accessible only to the Research Pharmacist, PI, </w:t>
      </w:r>
      <w:r w:rsidR="001E3DD6">
        <w:t xml:space="preserve">study </w:t>
      </w:r>
      <w:r>
        <w:t xml:space="preserve">coordinator, the DMID monitors, </w:t>
      </w:r>
      <w:r w:rsidR="00D10C4C">
        <w:t xml:space="preserve">the </w:t>
      </w:r>
      <w:r>
        <w:t xml:space="preserve">DMID representatives, and regulatory agency representatives. If the </w:t>
      </w:r>
      <w:r w:rsidR="00614C8F">
        <w:t xml:space="preserve">study </w:t>
      </w:r>
      <w:r>
        <w:t xml:space="preserve">is blinded, </w:t>
      </w:r>
      <w:r w:rsidR="00470265">
        <w:t>blinding</w:t>
      </w:r>
      <w:r>
        <w:t xml:space="preserve"> must be maintained</w:t>
      </w:r>
      <w:r w:rsidR="001E2294">
        <w:t>.</w:t>
      </w:r>
    </w:p>
    <w:p w14:paraId="1668784A" w14:textId="63CB8E0F" w:rsidR="0021116D" w:rsidRPr="00436CEB" w:rsidRDefault="00FF3B71" w:rsidP="007528C7">
      <w:pPr>
        <w:pStyle w:val="ListParagraph2"/>
      </w:pPr>
      <w:r w:rsidRPr="00436CEB">
        <w:t xml:space="preserve">Accountability may be performed through verification of inventory per section </w:t>
      </w:r>
      <w:r w:rsidR="007744FE" w:rsidRPr="00436CEB">
        <w:fldChar w:fldCharType="begin"/>
      </w:r>
      <w:r w:rsidR="007744FE" w:rsidRPr="00436CEB">
        <w:instrText xml:space="preserve"> REF _Ref207332503 \r \h </w:instrText>
      </w:r>
      <w:r w:rsidR="00436CEB" w:rsidRPr="00436CEB">
        <w:instrText xml:space="preserve"> \* MERGEFORMAT </w:instrText>
      </w:r>
      <w:r w:rsidR="007744FE" w:rsidRPr="00436CEB">
        <w:fldChar w:fldCharType="separate"/>
      </w:r>
      <w:r w:rsidR="007744FE" w:rsidRPr="00436CEB">
        <w:t>3.3</w:t>
      </w:r>
      <w:r w:rsidR="007744FE" w:rsidRPr="00436CEB">
        <w:fldChar w:fldCharType="end"/>
      </w:r>
      <w:r w:rsidRPr="00436CEB">
        <w:t xml:space="preserve"> and during monitoring. </w:t>
      </w:r>
    </w:p>
    <w:p w14:paraId="4CEB0CC4" w14:textId="233915E4" w:rsidR="0021116D" w:rsidRDefault="00D10C4C" w:rsidP="007528C7">
      <w:pPr>
        <w:pStyle w:val="ListParagraph2"/>
        <w:numPr>
          <w:ilvl w:val="1"/>
          <w:numId w:val="118"/>
        </w:numPr>
      </w:pPr>
      <w:r>
        <w:lastRenderedPageBreak/>
        <w:t xml:space="preserve">The </w:t>
      </w:r>
      <w:r w:rsidR="00F82FE4">
        <w:t xml:space="preserve">DMID does not require used containers of </w:t>
      </w:r>
      <w:r w:rsidR="009B3AA1">
        <w:t>investigational</w:t>
      </w:r>
      <w:r w:rsidR="00F82FE4">
        <w:t xml:space="preserve"> product to be maintained at the research pharmacy until the clinical monitors have confirmed the disposition of all </w:t>
      </w:r>
      <w:r w:rsidR="009B3AA1">
        <w:t>investigational</w:t>
      </w:r>
      <w:r w:rsidR="00F82FE4">
        <w:t xml:space="preserve"> products</w:t>
      </w:r>
    </w:p>
    <w:p w14:paraId="2625F5BA" w14:textId="2E705C9B" w:rsidR="004C3B64" w:rsidRPr="00F82FE4" w:rsidRDefault="00F82FE4" w:rsidP="007528C7">
      <w:pPr>
        <w:pStyle w:val="ListParagraph2"/>
        <w:numPr>
          <w:ilvl w:val="1"/>
          <w:numId w:val="118"/>
        </w:numPr>
      </w:pPr>
      <w:r>
        <w:t>Retention of used containers</w:t>
      </w:r>
      <w:r w:rsidR="00ED326C">
        <w:t xml:space="preserve"> of </w:t>
      </w:r>
      <w:r w:rsidR="009B3AA1">
        <w:t>investigational</w:t>
      </w:r>
      <w:r w:rsidR="00ED326C">
        <w:t xml:space="preserve"> product</w:t>
      </w:r>
      <w:r>
        <w:t xml:space="preserve"> for monitoring is only required when the local institution’s SOP/policy mandates it. If local SOPs allow/require destruction of used containers</w:t>
      </w:r>
      <w:r w:rsidR="001438F3">
        <w:t xml:space="preserve"> of </w:t>
      </w:r>
      <w:r w:rsidR="009B3AA1">
        <w:t>investigational</w:t>
      </w:r>
      <w:r w:rsidR="001438F3">
        <w:t xml:space="preserve"> product</w:t>
      </w:r>
      <w:r>
        <w:t xml:space="preserve">, the used </w:t>
      </w:r>
      <w:r w:rsidR="001438F3">
        <w:t>containers</w:t>
      </w:r>
      <w:r>
        <w:t xml:space="preserve"> can be destroyed </w:t>
      </w:r>
      <w:r w:rsidR="00D335F0">
        <w:t>by</w:t>
      </w:r>
      <w:r>
        <w:t xml:space="preserve"> the site’s SOPs with a second staff member’s observation and signed verification (two signatures) that the used </w:t>
      </w:r>
      <w:r w:rsidR="00D16A19">
        <w:t>containers</w:t>
      </w:r>
      <w:r>
        <w:t xml:space="preserve"> were destroyed</w:t>
      </w:r>
    </w:p>
    <w:p w14:paraId="0A21466F" w14:textId="3EC7386F" w:rsidR="00FF3B71" w:rsidRPr="00C74E9F" w:rsidRDefault="00FF3B71" w:rsidP="007528C7">
      <w:pPr>
        <w:pStyle w:val="Heading3b"/>
      </w:pPr>
      <w:bookmarkStart w:id="81" w:name="_Toc22044462"/>
      <w:bookmarkStart w:id="82" w:name="_Toc22044546"/>
      <w:bookmarkStart w:id="83" w:name="_Toc25150790"/>
      <w:bookmarkStart w:id="84" w:name="_Toc25151396"/>
      <w:bookmarkStart w:id="85" w:name="3.3_Systematic_Reviews"/>
      <w:bookmarkStart w:id="86" w:name="_Toc25151397"/>
      <w:bookmarkStart w:id="87" w:name="_Ref207332503"/>
      <w:bookmarkEnd w:id="81"/>
      <w:bookmarkEnd w:id="82"/>
      <w:bookmarkEnd w:id="83"/>
      <w:bookmarkEnd w:id="84"/>
      <w:bookmarkEnd w:id="85"/>
      <w:r w:rsidRPr="00C74E9F">
        <w:t>Systematic Reviews</w:t>
      </w:r>
      <w:bookmarkEnd w:id="86"/>
      <w:bookmarkEnd w:id="87"/>
    </w:p>
    <w:p w14:paraId="3997D75B" w14:textId="77777777" w:rsidR="00FF3B71" w:rsidRPr="00E87067" w:rsidRDefault="00FF3B71" w:rsidP="007528C7">
      <w:pPr>
        <w:pStyle w:val="ListStyle3"/>
      </w:pPr>
      <w:bookmarkStart w:id="88" w:name="_Toc25151398"/>
      <w:r w:rsidRPr="00E87067">
        <w:t>Product Inventory Review</w:t>
      </w:r>
      <w:bookmarkEnd w:id="88"/>
    </w:p>
    <w:p w14:paraId="112D9F65" w14:textId="3DC173E8" w:rsidR="00FF3B71" w:rsidRPr="00E87067" w:rsidRDefault="00FF3B71" w:rsidP="00A035F1">
      <w:pPr>
        <w:pStyle w:val="ListParagraph"/>
        <w:numPr>
          <w:ilvl w:val="0"/>
          <w:numId w:val="117"/>
        </w:numPr>
        <w:ind w:left="1080"/>
      </w:pPr>
      <w:r w:rsidRPr="00E87067">
        <w:t xml:space="preserve">A physical review of </w:t>
      </w:r>
      <w:r w:rsidR="009B3AA1">
        <w:t>investigational</w:t>
      </w:r>
      <w:r w:rsidRPr="00E87067">
        <w:t xml:space="preserve"> product inventory should be conducted monthly, at a minimum, to support accountability records and to confirm that physical quantity on hand is consistent with the inventory balances on the accountability log. These procedures should include a cross-check of quantity on hand with the amounts recorded on the drug accountability records, dispensing or preparation dates, expiration dates, and lot numbers. The inventory balance documented on the accountability log should </w:t>
      </w:r>
      <w:r w:rsidR="002A4173">
        <w:t xml:space="preserve">always </w:t>
      </w:r>
      <w:r w:rsidRPr="00E87067">
        <w:t>match the actual physical inventory, on hand</w:t>
      </w:r>
    </w:p>
    <w:p w14:paraId="1E48974C" w14:textId="0941E6B2" w:rsidR="00FF3B71" w:rsidRPr="00E87067" w:rsidRDefault="00FF3B71" w:rsidP="00C166FD">
      <w:pPr>
        <w:pStyle w:val="ListParagraph2"/>
        <w:numPr>
          <w:ilvl w:val="0"/>
          <w:numId w:val="28"/>
        </w:numPr>
        <w:ind w:left="1440"/>
      </w:pPr>
      <w:r w:rsidRPr="00E87067">
        <w:t>More frequent reviews may be indicated (e.</w:t>
      </w:r>
      <w:r w:rsidR="00590278">
        <w:t>g.</w:t>
      </w:r>
      <w:r w:rsidRPr="00E87067">
        <w:t>, running balance) at a frequency concurrent with dispensing and storage indications</w:t>
      </w:r>
      <w:r w:rsidR="001F182E" w:rsidRPr="00E87067">
        <w:t>.</w:t>
      </w:r>
    </w:p>
    <w:p w14:paraId="61E0FB86" w14:textId="2F748A27" w:rsidR="00FF3B71" w:rsidRPr="00E87067" w:rsidRDefault="00274D7E" w:rsidP="007528C7">
      <w:pPr>
        <w:pStyle w:val="ListParagraph2"/>
        <w:numPr>
          <w:ilvl w:val="0"/>
          <w:numId w:val="0"/>
        </w:numPr>
        <w:ind w:left="720"/>
      </w:pPr>
      <w:r>
        <w:t>T</w:t>
      </w:r>
      <w:r w:rsidRPr="00274D7E">
        <w:t xml:space="preserve">he Research Pharmacist must attempt to reconcile </w:t>
      </w:r>
      <w:r>
        <w:t>any</w:t>
      </w:r>
      <w:r w:rsidR="00FF3B71" w:rsidRPr="00E87067">
        <w:t xml:space="preserve"> discrepancies between the accountability records and the physical quantity on hand</w:t>
      </w:r>
      <w:r>
        <w:t xml:space="preserve">. </w:t>
      </w:r>
      <w:r w:rsidR="00FF3B71" w:rsidRPr="00E87067">
        <w:t xml:space="preserve"> The attempt to reconcile discrepancies must be documented</w:t>
      </w:r>
      <w:r w:rsidR="00996E38">
        <w:t>.</w:t>
      </w:r>
    </w:p>
    <w:p w14:paraId="0F1E375F" w14:textId="490DA745" w:rsidR="00FF3B71" w:rsidRPr="00E87067" w:rsidRDefault="00274D7E" w:rsidP="007528C7">
      <w:pPr>
        <w:pStyle w:val="ListParagraph2"/>
        <w:numPr>
          <w:ilvl w:val="0"/>
          <w:numId w:val="0"/>
        </w:numPr>
        <w:ind w:left="720"/>
      </w:pPr>
      <w:r>
        <w:t>The Research Pharmacist must immediately notify the DMID CPM when an</w:t>
      </w:r>
      <w:r w:rsidR="00FF3B71" w:rsidRPr="00E87067">
        <w:t xml:space="preserve"> attempt to reconcile a discrepancy is unsuccessful, </w:t>
      </w:r>
      <w:r>
        <w:t xml:space="preserve">and </w:t>
      </w:r>
      <w:r w:rsidR="00FF3B71" w:rsidRPr="00E87067">
        <w:t xml:space="preserve">the actions attempted must be documented on the accountability records. If the study is blinded, </w:t>
      </w:r>
      <w:r w:rsidR="00401299" w:rsidRPr="00E87067">
        <w:t>blinding</w:t>
      </w:r>
      <w:r w:rsidR="00FF3B71" w:rsidRPr="00E87067">
        <w:t xml:space="preserve"> must be maintained</w:t>
      </w:r>
      <w:r w:rsidR="00996E38">
        <w:t>.</w:t>
      </w:r>
    </w:p>
    <w:p w14:paraId="153EFC60" w14:textId="77777777" w:rsidR="00FF3B71" w:rsidRPr="00E87067" w:rsidRDefault="00FF3B71" w:rsidP="007528C7">
      <w:pPr>
        <w:pStyle w:val="ListStyle3"/>
      </w:pPr>
      <w:bookmarkStart w:id="89" w:name="_Toc25151399"/>
      <w:r w:rsidRPr="00E87067">
        <w:t>Product Expiration Review</w:t>
      </w:r>
      <w:bookmarkEnd w:id="89"/>
    </w:p>
    <w:p w14:paraId="2C649F94" w14:textId="25240365" w:rsidR="00FF3B71" w:rsidRPr="00E87067" w:rsidRDefault="00FF3B71" w:rsidP="007528C7">
      <w:pPr>
        <w:pStyle w:val="ListParagraph2"/>
        <w:ind w:left="1080"/>
      </w:pPr>
      <w:r w:rsidRPr="00E87067">
        <w:t xml:space="preserve">The Research Pharmacist should establish written procedures for the process of </w:t>
      </w:r>
      <w:r w:rsidR="009B3AA1">
        <w:t>investigational</w:t>
      </w:r>
      <w:r w:rsidRPr="00E87067">
        <w:t xml:space="preserve"> product expiration date review, including when non-routine reviews may be required</w:t>
      </w:r>
    </w:p>
    <w:p w14:paraId="2B4ACD27" w14:textId="6DA6CBBC" w:rsidR="00FF3B71" w:rsidRPr="00E87067" w:rsidRDefault="00FF3B71" w:rsidP="007528C7">
      <w:pPr>
        <w:pStyle w:val="ListParagraph2"/>
        <w:ind w:left="1080"/>
      </w:pPr>
      <w:r w:rsidRPr="00E87067">
        <w:t>Expiration dates should be made clear in the available documentation</w:t>
      </w:r>
    </w:p>
    <w:p w14:paraId="6FAD2995" w14:textId="2DCB7399" w:rsidR="00FF3B71" w:rsidRPr="00E87067" w:rsidRDefault="00FF3B71" w:rsidP="007528C7">
      <w:pPr>
        <w:pStyle w:val="ListParagraph2"/>
        <w:ind w:left="1080"/>
      </w:pPr>
      <w:r w:rsidRPr="00E87067">
        <w:t xml:space="preserve">A routine review of </w:t>
      </w:r>
      <w:r w:rsidR="009B3AA1">
        <w:t>investigational</w:t>
      </w:r>
      <w:r w:rsidRPr="00E87067">
        <w:t xml:space="preserve"> product expiration/retest dates should be conducted</w:t>
      </w:r>
      <w:r w:rsidR="002D5253" w:rsidRPr="00E87067">
        <w:t>.</w:t>
      </w:r>
    </w:p>
    <w:p w14:paraId="61211FDB" w14:textId="32E2D4DF" w:rsidR="00FF3B71" w:rsidRPr="00E87067" w:rsidRDefault="00FF3B71" w:rsidP="007528C7">
      <w:pPr>
        <w:pStyle w:val="ListParagraph2"/>
        <w:ind w:left="1080"/>
      </w:pPr>
      <w:r w:rsidRPr="00E87067">
        <w:t>Expiration review must be conducted quarterly</w:t>
      </w:r>
    </w:p>
    <w:p w14:paraId="2CD531BD" w14:textId="7D9652E7" w:rsidR="003A1610" w:rsidRDefault="003A1610" w:rsidP="007528C7">
      <w:pPr>
        <w:pStyle w:val="ListParagraph2"/>
        <w:numPr>
          <w:ilvl w:val="1"/>
          <w:numId w:val="122"/>
        </w:numPr>
      </w:pPr>
      <w:r>
        <w:t>Expired products must be se</w:t>
      </w:r>
      <w:r w:rsidR="00173F99">
        <w:t>gregated</w:t>
      </w:r>
      <w:r>
        <w:t xml:space="preserve"> from active </w:t>
      </w:r>
      <w:r w:rsidR="009B3AA1">
        <w:t>investigational</w:t>
      </w:r>
      <w:r>
        <w:t xml:space="preserve"> products and placed in quarantine (see section</w:t>
      </w:r>
      <w:r w:rsidR="00521B7C">
        <w:t xml:space="preserve"> </w:t>
      </w:r>
      <w:r w:rsidR="00521B7C">
        <w:fldChar w:fldCharType="begin"/>
      </w:r>
      <w:r w:rsidR="00521B7C">
        <w:instrText xml:space="preserve"> REF _Ref207332579 \r \h </w:instrText>
      </w:r>
      <w:r w:rsidR="00521B7C">
        <w:fldChar w:fldCharType="separate"/>
      </w:r>
      <w:r w:rsidR="00521B7C">
        <w:t xml:space="preserve">4.11. </w:t>
      </w:r>
      <w:r w:rsidR="00521B7C">
        <w:fldChar w:fldCharType="end"/>
      </w:r>
      <w:r>
        <w:t xml:space="preserve">) until they are monitored and upon receipt of written authorization destroyed on site or returned to the supplier. If local SOPs require destruction of expired </w:t>
      </w:r>
      <w:r w:rsidR="009B3AA1">
        <w:t>investigational</w:t>
      </w:r>
      <w:r>
        <w:t xml:space="preserve"> product containers instead of </w:t>
      </w:r>
      <w:r w:rsidR="002A4173">
        <w:t>returning</w:t>
      </w:r>
      <w:r>
        <w:t xml:space="preserve"> to sponsor or manufacturer/supplier, the site must first obtain approval in writing from</w:t>
      </w:r>
      <w:r w:rsidR="006451C6">
        <w:t xml:space="preserve"> the</w:t>
      </w:r>
      <w:r>
        <w:t xml:space="preserve"> DMID</w:t>
      </w:r>
      <w:r w:rsidR="00B5780D">
        <w:t>.</w:t>
      </w:r>
      <w:r>
        <w:t xml:space="preserve"> </w:t>
      </w:r>
      <w:r w:rsidR="00B5780D">
        <w:t>T</w:t>
      </w:r>
      <w:r>
        <w:t xml:space="preserve">he </w:t>
      </w:r>
      <w:r>
        <w:lastRenderedPageBreak/>
        <w:t xml:space="preserve">expired vials can </w:t>
      </w:r>
      <w:r w:rsidR="00B5780D">
        <w:t xml:space="preserve">then </w:t>
      </w:r>
      <w:r>
        <w:t>be destroyed with a second staff member’s observation and signed verification (two signatures) that the used vials were destroyed</w:t>
      </w:r>
    </w:p>
    <w:p w14:paraId="2F749561" w14:textId="642B907F" w:rsidR="002E0D51" w:rsidRDefault="002E0D51" w:rsidP="007528C7">
      <w:pPr>
        <w:pStyle w:val="ListParagraph2"/>
        <w:numPr>
          <w:ilvl w:val="1"/>
          <w:numId w:val="122"/>
        </w:numPr>
      </w:pPr>
      <w:r w:rsidRPr="002E0D51">
        <w:t xml:space="preserve">Instructions regarding storage of expired </w:t>
      </w:r>
      <w:r w:rsidR="009B3AA1">
        <w:t>investigational</w:t>
      </w:r>
      <w:r w:rsidRPr="002E0D51">
        <w:t xml:space="preserve"> products, such as whether storage conditions need to be maintained, must be provided by the DMID. If there are any questions, the PST should be contacted</w:t>
      </w:r>
      <w:r w:rsidR="00FE5859">
        <w:t xml:space="preserve"> via email</w:t>
      </w:r>
    </w:p>
    <w:p w14:paraId="27735807" w14:textId="4ECE35F8" w:rsidR="00607470" w:rsidRPr="00E87067" w:rsidRDefault="00CB3713" w:rsidP="007528C7">
      <w:pPr>
        <w:pStyle w:val="ListParagraph2"/>
        <w:numPr>
          <w:ilvl w:val="1"/>
          <w:numId w:val="122"/>
        </w:numPr>
        <w:spacing w:after="120" w:line="240" w:lineRule="auto"/>
      </w:pPr>
      <w:r>
        <w:t>T</w:t>
      </w:r>
      <w:r w:rsidR="00FF3B71" w:rsidRPr="00E87067">
        <w:t xml:space="preserve">he Research Pharmacist must review the expiration/retest date information provided for the </w:t>
      </w:r>
      <w:r w:rsidR="009B3AA1">
        <w:t>investigational</w:t>
      </w:r>
      <w:r w:rsidR="00FF3B71" w:rsidRPr="00E87067">
        <w:t xml:space="preserve"> product</w:t>
      </w:r>
      <w:r w:rsidRPr="00CB3713">
        <w:t xml:space="preserve"> </w:t>
      </w:r>
      <w:r w:rsidRPr="00436CEB">
        <w:rPr>
          <w:u w:val="single"/>
        </w:rPr>
        <w:t>before</w:t>
      </w:r>
      <w:r w:rsidRPr="00CB3713">
        <w:t xml:space="preserve"> dispensing of </w:t>
      </w:r>
      <w:r w:rsidR="009B3AA1">
        <w:t>investigational</w:t>
      </w:r>
      <w:r w:rsidRPr="00CB3713">
        <w:t xml:space="preserve"> product</w:t>
      </w:r>
      <w:r>
        <w:t>.</w:t>
      </w:r>
      <w:r w:rsidR="00FF3B71" w:rsidRPr="00E87067">
        <w:t xml:space="preserve"> If applicable, the Research Pharmacist must also ensure that the </w:t>
      </w:r>
      <w:r w:rsidR="009B3AA1">
        <w:t>investigational</w:t>
      </w:r>
      <w:r w:rsidR="00FF3B71" w:rsidRPr="00E87067">
        <w:t xml:space="preserve"> product dispensed will not reach the expiration date before the subject’s next required supply of </w:t>
      </w:r>
      <w:r w:rsidR="009B3AA1">
        <w:t>investigational</w:t>
      </w:r>
      <w:r w:rsidR="00FF3B71" w:rsidRPr="00E87067">
        <w:t xml:space="preserve"> product</w:t>
      </w:r>
    </w:p>
    <w:p w14:paraId="7A98A735" w14:textId="3FFE48D7" w:rsidR="00FF3B71" w:rsidRPr="00E87067" w:rsidRDefault="009B3AA1" w:rsidP="007528C7">
      <w:pPr>
        <w:pStyle w:val="Heading3b"/>
      </w:pPr>
      <w:bookmarkStart w:id="90" w:name="_Toc22044466"/>
      <w:bookmarkStart w:id="91" w:name="_Toc22044550"/>
      <w:bookmarkStart w:id="92" w:name="_Toc25150794"/>
      <w:bookmarkStart w:id="93" w:name="_Toc25151400"/>
      <w:bookmarkStart w:id="94" w:name="3.4_Study_Product_Disposition"/>
      <w:bookmarkStart w:id="95" w:name="_Toc25151401"/>
      <w:bookmarkEnd w:id="90"/>
      <w:bookmarkEnd w:id="91"/>
      <w:bookmarkEnd w:id="92"/>
      <w:bookmarkEnd w:id="93"/>
      <w:bookmarkEnd w:id="94"/>
      <w:r>
        <w:t>Investigational</w:t>
      </w:r>
      <w:r w:rsidR="00FF3B71" w:rsidRPr="00E87067">
        <w:t xml:space="preserve"> Product Disposition</w:t>
      </w:r>
      <w:bookmarkEnd w:id="95"/>
    </w:p>
    <w:p w14:paraId="4818D481" w14:textId="25D25B91" w:rsidR="00BE665F" w:rsidRDefault="00BE665F" w:rsidP="007528C7">
      <w:pPr>
        <w:pStyle w:val="ListParagraph2"/>
      </w:pPr>
      <w:r>
        <w:t xml:space="preserve">Unused </w:t>
      </w:r>
      <w:r w:rsidR="009B3AA1">
        <w:t>investigational</w:t>
      </w:r>
      <w:r>
        <w:t xml:space="preserve"> </w:t>
      </w:r>
      <w:r w:rsidR="006F74C2">
        <w:t>products</w:t>
      </w:r>
      <w:r>
        <w:t xml:space="preserve"> (e.g., expired </w:t>
      </w:r>
      <w:r w:rsidR="009B3AA1">
        <w:t>investigational</w:t>
      </w:r>
      <w:r>
        <w:t xml:space="preserve"> </w:t>
      </w:r>
      <w:r w:rsidR="002A4173">
        <w:t>product</w:t>
      </w:r>
      <w:r>
        <w:t xml:space="preserve">, unexpired </w:t>
      </w:r>
      <w:r w:rsidR="009B3AA1">
        <w:t>investigational</w:t>
      </w:r>
      <w:r>
        <w:t xml:space="preserve"> product upon completion of the </w:t>
      </w:r>
      <w:r w:rsidR="00746F89">
        <w:t>study</w:t>
      </w:r>
      <w:r>
        <w:t>) will be destroyed or returned to the product supplier, unless otherwise specified in the protocol or MOP and after written notice from</w:t>
      </w:r>
      <w:r w:rsidR="006451C6">
        <w:t xml:space="preserve"> the</w:t>
      </w:r>
      <w:r>
        <w:t xml:space="preserve"> DMID.</w:t>
      </w:r>
    </w:p>
    <w:p w14:paraId="7B9D40B6" w14:textId="2C43231C" w:rsidR="00BE665F" w:rsidRDefault="009B3AA1" w:rsidP="007528C7">
      <w:pPr>
        <w:pStyle w:val="ListParagraph2"/>
        <w:numPr>
          <w:ilvl w:val="1"/>
          <w:numId w:val="112"/>
        </w:numPr>
        <w:ind w:left="1080"/>
      </w:pPr>
      <w:r>
        <w:t>Investigational</w:t>
      </w:r>
      <w:r w:rsidR="00BE665F">
        <w:t xml:space="preserve"> product designated for destruction or return must be </w:t>
      </w:r>
      <w:r w:rsidR="00CC3A32">
        <w:t>segregated</w:t>
      </w:r>
      <w:r w:rsidR="00BE665F">
        <w:t xml:space="preserve"> from active </w:t>
      </w:r>
      <w:r>
        <w:t>investigational</w:t>
      </w:r>
      <w:r w:rsidR="00BE665F">
        <w:t xml:space="preserve"> products and placed in quarantine (see section</w:t>
      </w:r>
      <w:r w:rsidR="002F6A97">
        <w:t xml:space="preserve"> </w:t>
      </w:r>
      <w:r w:rsidR="002F6A97">
        <w:fldChar w:fldCharType="begin"/>
      </w:r>
      <w:r w:rsidR="002F6A97">
        <w:instrText xml:space="preserve"> REF _Ref207332579 \r \h </w:instrText>
      </w:r>
      <w:r w:rsidR="006D078B">
        <w:instrText xml:space="preserve"> \* MERGEFORMAT </w:instrText>
      </w:r>
      <w:r w:rsidR="002F6A97">
        <w:fldChar w:fldCharType="separate"/>
      </w:r>
      <w:r w:rsidR="002F6A97">
        <w:t>4.11</w:t>
      </w:r>
      <w:r w:rsidR="002F6A97">
        <w:fldChar w:fldCharType="end"/>
      </w:r>
      <w:r w:rsidR="00BE665F">
        <w:t>) until they are monitored and/or accounted</w:t>
      </w:r>
      <w:r w:rsidR="005466E3">
        <w:t>.</w:t>
      </w:r>
      <w:r w:rsidR="00BE665F">
        <w:t xml:space="preserve"> </w:t>
      </w:r>
      <w:r w:rsidR="00C42AE3">
        <w:t xml:space="preserve">Once DMID </w:t>
      </w:r>
      <w:r w:rsidR="00C42AE3" w:rsidRPr="00C42AE3">
        <w:t>written authorization of final disposition</w:t>
      </w:r>
      <w:r w:rsidR="00C42AE3">
        <w:t xml:space="preserve"> is provided, </w:t>
      </w:r>
      <w:r w:rsidR="00BE665F">
        <w:t>the</w:t>
      </w:r>
      <w:r w:rsidR="00AB3C7D">
        <w:t xml:space="preserve"> products may be</w:t>
      </w:r>
      <w:r w:rsidR="00BE665F">
        <w:t xml:space="preserve"> destroyed on site or returned to the manufacturer/supplier</w:t>
      </w:r>
    </w:p>
    <w:p w14:paraId="170DF4A1" w14:textId="26A6C3D6" w:rsidR="00607470" w:rsidRDefault="00607470" w:rsidP="007528C7">
      <w:pPr>
        <w:pStyle w:val="ListParagraph2"/>
        <w:numPr>
          <w:ilvl w:val="1"/>
          <w:numId w:val="112"/>
        </w:numPr>
        <w:ind w:left="1080"/>
      </w:pPr>
      <w:r w:rsidRPr="00607470">
        <w:t xml:space="preserve">If local SOPs require destruction of Unused </w:t>
      </w:r>
      <w:r w:rsidR="009B3AA1">
        <w:t>investigational</w:t>
      </w:r>
      <w:r w:rsidRPr="00607470">
        <w:t xml:space="preserve"> product containers instead of return, the site will require written approval from the DMID</w:t>
      </w:r>
      <w:r w:rsidR="00ED1F03">
        <w:t>.</w:t>
      </w:r>
      <w:r w:rsidRPr="00607470">
        <w:t xml:space="preserve"> Unused containers can </w:t>
      </w:r>
      <w:r w:rsidR="00ED1F03">
        <w:t xml:space="preserve">then </w:t>
      </w:r>
      <w:r w:rsidRPr="00607470">
        <w:t>be destroyed per the site’s SOPs with a second staff member’s observation and signed verification (two signatures) that the used vials were discarded</w:t>
      </w:r>
    </w:p>
    <w:p w14:paraId="7CA6BFEF" w14:textId="40EB4D97" w:rsidR="00FF3B71" w:rsidRPr="00E87067" w:rsidRDefault="00FF3B71" w:rsidP="007528C7">
      <w:pPr>
        <w:pStyle w:val="ListParagraph2"/>
      </w:pPr>
      <w:r w:rsidRPr="00E87067">
        <w:t xml:space="preserve">The method and timing of </w:t>
      </w:r>
      <w:r w:rsidR="009B3AA1">
        <w:t>investigational</w:t>
      </w:r>
      <w:r w:rsidRPr="00E87067">
        <w:t xml:space="preserve"> product disposition is at the discretion of the DMID. The arrangements may be outlined in a protocol, in a MOP</w:t>
      </w:r>
      <w:r w:rsidR="000C4A57">
        <w:t>,</w:t>
      </w:r>
      <w:r w:rsidRPr="00E87067">
        <w:t xml:space="preserve"> or conveyed in a written document from </w:t>
      </w:r>
      <w:r w:rsidR="002A4173">
        <w:t xml:space="preserve">the </w:t>
      </w:r>
      <w:r w:rsidRPr="00E87067">
        <w:t>DMID</w:t>
      </w:r>
    </w:p>
    <w:p w14:paraId="241E32AE" w14:textId="7CE471C0" w:rsidR="00FF3B71" w:rsidRPr="00E87067" w:rsidRDefault="00FF3B71" w:rsidP="007528C7">
      <w:pPr>
        <w:pStyle w:val="ListParagraph2"/>
      </w:pPr>
      <w:r w:rsidRPr="00E87067">
        <w:t>Accountability records will be monitored before authorization of final disposition</w:t>
      </w:r>
    </w:p>
    <w:p w14:paraId="358B049E" w14:textId="0092A7DB" w:rsidR="00FF3B71" w:rsidRPr="00E87067" w:rsidRDefault="00FF3B71" w:rsidP="007528C7">
      <w:pPr>
        <w:pStyle w:val="ListParagraph2"/>
      </w:pPr>
      <w:r w:rsidRPr="00E87067">
        <w:t xml:space="preserve">The Research Pharmacist must provide written documentation of </w:t>
      </w:r>
      <w:r w:rsidR="009B3AA1">
        <w:t>investigational</w:t>
      </w:r>
      <w:r w:rsidRPr="00E87067">
        <w:t xml:space="preserve"> product disposition on the accountability records, either before or at study completion (as applicable to the protocol)</w:t>
      </w:r>
    </w:p>
    <w:p w14:paraId="313CFF36" w14:textId="0FA78A52" w:rsidR="00FF3B71" w:rsidRPr="00E87067" w:rsidRDefault="00FF3B71" w:rsidP="007528C7">
      <w:pPr>
        <w:pStyle w:val="ListParagraph2"/>
      </w:pPr>
      <w:r w:rsidRPr="00E87067">
        <w:t xml:space="preserve">After study completion, </w:t>
      </w:r>
      <w:r w:rsidR="009B3AA1">
        <w:t>investigational</w:t>
      </w:r>
      <w:r w:rsidRPr="00E87067">
        <w:t xml:space="preserve"> product must not remain at the site unless authorized by the DMID</w:t>
      </w:r>
    </w:p>
    <w:p w14:paraId="0C177DFB" w14:textId="77777777" w:rsidR="00FF3B71" w:rsidRPr="00E87067" w:rsidRDefault="00FF3B71" w:rsidP="007528C7">
      <w:pPr>
        <w:pStyle w:val="ListParagraph2"/>
      </w:pPr>
      <w:r w:rsidRPr="00E87067">
        <w:t>The following information should be included for record keeping:</w:t>
      </w:r>
    </w:p>
    <w:p w14:paraId="7C48C4F8" w14:textId="77777777" w:rsidR="00FF3B71" w:rsidRPr="00E87067" w:rsidRDefault="00FF3B71" w:rsidP="006D078B">
      <w:pPr>
        <w:pStyle w:val="ListParagraph2"/>
        <w:numPr>
          <w:ilvl w:val="0"/>
          <w:numId w:val="33"/>
        </w:numPr>
        <w:ind w:left="1080"/>
      </w:pPr>
      <w:r w:rsidRPr="00E87067">
        <w:t>Name of PI and contact information</w:t>
      </w:r>
    </w:p>
    <w:p w14:paraId="0EB9668B" w14:textId="77777777" w:rsidR="00FF3B71" w:rsidRPr="00E87067" w:rsidRDefault="00FF3B71" w:rsidP="006D078B">
      <w:pPr>
        <w:pStyle w:val="ListParagraph2"/>
        <w:numPr>
          <w:ilvl w:val="0"/>
          <w:numId w:val="33"/>
        </w:numPr>
        <w:ind w:left="1080"/>
      </w:pPr>
      <w:r w:rsidRPr="00E87067">
        <w:t>Number of units</w:t>
      </w:r>
    </w:p>
    <w:p w14:paraId="799F8D21" w14:textId="77777777" w:rsidR="00FF3B71" w:rsidRPr="00E87067" w:rsidRDefault="00FF3B71" w:rsidP="006D078B">
      <w:pPr>
        <w:pStyle w:val="ListParagraph2"/>
        <w:numPr>
          <w:ilvl w:val="0"/>
          <w:numId w:val="33"/>
        </w:numPr>
        <w:ind w:left="1080"/>
      </w:pPr>
      <w:r w:rsidRPr="00E87067">
        <w:t>Information specific to the drug including but not limited to the drug name, strength, dosage form, quantity of drug per container, quantity of containers, manufacturer, lot/control number, etc.</w:t>
      </w:r>
    </w:p>
    <w:p w14:paraId="78F61263" w14:textId="77777777" w:rsidR="00FF3B71" w:rsidRPr="00E87067" w:rsidRDefault="00FF3B71" w:rsidP="006D078B">
      <w:pPr>
        <w:pStyle w:val="ListParagraph2"/>
        <w:numPr>
          <w:ilvl w:val="0"/>
          <w:numId w:val="33"/>
        </w:numPr>
        <w:ind w:left="1080"/>
      </w:pPr>
      <w:r w:rsidRPr="00E87067">
        <w:lastRenderedPageBreak/>
        <w:t>Method and date(s) of final disposition</w:t>
      </w:r>
    </w:p>
    <w:p w14:paraId="132C5348" w14:textId="7DC56A31" w:rsidR="00FF3B71" w:rsidRPr="00E87067" w:rsidRDefault="00FF3B71" w:rsidP="006D078B">
      <w:pPr>
        <w:pStyle w:val="ListParagraph2"/>
        <w:numPr>
          <w:ilvl w:val="0"/>
          <w:numId w:val="33"/>
        </w:numPr>
        <w:ind w:left="1080"/>
      </w:pPr>
      <w:r w:rsidRPr="00E87067">
        <w:t>Name and signature of personnel responsible for destruction if destroyed on site</w:t>
      </w:r>
    </w:p>
    <w:p w14:paraId="2683B99D" w14:textId="0E30ADBF" w:rsidR="00FF3B71" w:rsidRPr="00E87067" w:rsidRDefault="009B3AA1" w:rsidP="007528C7">
      <w:pPr>
        <w:pStyle w:val="ListStyle3"/>
      </w:pPr>
      <w:bookmarkStart w:id="96" w:name="3.4.1_Study_Product_Return"/>
      <w:bookmarkStart w:id="97" w:name="_Toc25151402"/>
      <w:bookmarkEnd w:id="96"/>
      <w:r>
        <w:t>Investigational</w:t>
      </w:r>
      <w:r w:rsidR="00FF3B71" w:rsidRPr="00E87067">
        <w:t xml:space="preserve"> Product Return</w:t>
      </w:r>
      <w:bookmarkEnd w:id="97"/>
    </w:p>
    <w:p w14:paraId="26748850" w14:textId="1BD65772" w:rsidR="00FF3B71" w:rsidRPr="00E87067" w:rsidRDefault="00FF3B71" w:rsidP="00C166FD">
      <w:pPr>
        <w:pStyle w:val="ListParagraph"/>
        <w:numPr>
          <w:ilvl w:val="0"/>
          <w:numId w:val="34"/>
        </w:numPr>
        <w:ind w:left="1080"/>
      </w:pPr>
      <w:r w:rsidRPr="00E87067">
        <w:t xml:space="preserve">Reasons for which </w:t>
      </w:r>
      <w:r w:rsidR="009B3AA1">
        <w:t>investigational</w:t>
      </w:r>
      <w:r w:rsidRPr="00E87067">
        <w:t xml:space="preserve"> products may be returned include, but are not limited to, the following:</w:t>
      </w:r>
    </w:p>
    <w:p w14:paraId="5F9E3B74" w14:textId="1987D5A9" w:rsidR="00FF3B71" w:rsidRPr="00E87067" w:rsidRDefault="00FF3B71" w:rsidP="00C166FD">
      <w:pPr>
        <w:pStyle w:val="ListParagraph2"/>
        <w:numPr>
          <w:ilvl w:val="0"/>
          <w:numId w:val="35"/>
        </w:numPr>
        <w:ind w:left="1440"/>
      </w:pPr>
      <w:r w:rsidRPr="00E87067">
        <w:t>The clinical protocol has been completed or terminated at a site</w:t>
      </w:r>
    </w:p>
    <w:p w14:paraId="545BBB8A" w14:textId="283A7BDA" w:rsidR="00FF3B71" w:rsidRPr="00E87067" w:rsidRDefault="00FF3B71" w:rsidP="00C166FD">
      <w:pPr>
        <w:pStyle w:val="ListParagraph2"/>
        <w:numPr>
          <w:ilvl w:val="0"/>
          <w:numId w:val="35"/>
        </w:numPr>
        <w:ind w:left="1440"/>
      </w:pPr>
      <w:r w:rsidRPr="00E87067">
        <w:t xml:space="preserve">The </w:t>
      </w:r>
      <w:r w:rsidR="009B3AA1">
        <w:t>investigational</w:t>
      </w:r>
      <w:r w:rsidRPr="00E87067">
        <w:t xml:space="preserve"> product was damaged when received at the pharmacy/ clinical research site</w:t>
      </w:r>
    </w:p>
    <w:p w14:paraId="5E367446" w14:textId="630BDA64" w:rsidR="00FF3B71" w:rsidRPr="00E87067" w:rsidRDefault="00FF3B71" w:rsidP="00C166FD">
      <w:pPr>
        <w:pStyle w:val="ListParagraph2"/>
        <w:numPr>
          <w:ilvl w:val="0"/>
          <w:numId w:val="35"/>
        </w:numPr>
        <w:ind w:left="1440"/>
      </w:pPr>
      <w:r w:rsidRPr="00E87067">
        <w:t xml:space="preserve">The </w:t>
      </w:r>
      <w:r w:rsidR="009B3AA1">
        <w:t>investigational</w:t>
      </w:r>
      <w:r w:rsidRPr="00E87067">
        <w:t xml:space="preserve"> product has been stored improperly and can no longer be used safely</w:t>
      </w:r>
    </w:p>
    <w:p w14:paraId="6A1784C8" w14:textId="028158EF" w:rsidR="00FF3B71" w:rsidRPr="00E87067" w:rsidRDefault="00FF3B71" w:rsidP="00C166FD">
      <w:pPr>
        <w:pStyle w:val="ListParagraph2"/>
        <w:numPr>
          <w:ilvl w:val="0"/>
          <w:numId w:val="35"/>
        </w:numPr>
        <w:ind w:left="1440"/>
      </w:pPr>
      <w:r w:rsidRPr="00E87067">
        <w:t xml:space="preserve">The </w:t>
      </w:r>
      <w:r w:rsidR="009B3AA1">
        <w:t>investigational</w:t>
      </w:r>
      <w:r w:rsidRPr="00E87067">
        <w:t xml:space="preserve"> product has expired</w:t>
      </w:r>
    </w:p>
    <w:p w14:paraId="234DE751" w14:textId="2181464B" w:rsidR="00FF3B71" w:rsidRPr="00E87067" w:rsidRDefault="00FF3B71" w:rsidP="00C166FD">
      <w:pPr>
        <w:pStyle w:val="ListParagraph2"/>
        <w:numPr>
          <w:ilvl w:val="0"/>
          <w:numId w:val="35"/>
        </w:numPr>
        <w:ind w:left="1440"/>
      </w:pPr>
      <w:r w:rsidRPr="00E87067">
        <w:t xml:space="preserve">Return of the </w:t>
      </w:r>
      <w:r w:rsidR="009B3AA1">
        <w:t>investigational</w:t>
      </w:r>
      <w:r w:rsidRPr="00E87067">
        <w:t xml:space="preserve"> product has been requested by the supplier</w:t>
      </w:r>
    </w:p>
    <w:p w14:paraId="7EAFCF29" w14:textId="78E78E4A" w:rsidR="00FF3B71" w:rsidRPr="00E87067" w:rsidRDefault="00FF3B71" w:rsidP="00C166FD">
      <w:pPr>
        <w:pStyle w:val="ListParagraph2"/>
        <w:numPr>
          <w:ilvl w:val="0"/>
          <w:numId w:val="35"/>
        </w:numPr>
        <w:ind w:left="1440"/>
      </w:pPr>
      <w:r w:rsidRPr="00E87067">
        <w:t xml:space="preserve">The manufacturer or sponsor has recalled the </w:t>
      </w:r>
      <w:r w:rsidR="009B3AA1">
        <w:t>investigational</w:t>
      </w:r>
      <w:r w:rsidRPr="00E87067">
        <w:t xml:space="preserve"> product</w:t>
      </w:r>
    </w:p>
    <w:p w14:paraId="39AB55B3" w14:textId="66B3BA56" w:rsidR="00FF3B71" w:rsidRPr="00E87067" w:rsidRDefault="00FF3B71" w:rsidP="00C166FD">
      <w:pPr>
        <w:pStyle w:val="ListParagraph"/>
        <w:numPr>
          <w:ilvl w:val="0"/>
          <w:numId w:val="36"/>
        </w:numPr>
        <w:ind w:left="1080"/>
      </w:pPr>
      <w:r w:rsidRPr="00E87067">
        <w:t>A</w:t>
      </w:r>
      <w:r w:rsidR="00826C41">
        <w:t>n</w:t>
      </w:r>
      <w:r w:rsidRPr="00E87067">
        <w:t xml:space="preserve"> </w:t>
      </w:r>
      <w:r w:rsidR="009B3AA1">
        <w:t>investigational</w:t>
      </w:r>
      <w:r w:rsidRPr="00E87067">
        <w:t xml:space="preserve"> product recall system must be in place for the identification, retrieval, quarantine, and return of recalled </w:t>
      </w:r>
      <w:r w:rsidR="009B3AA1">
        <w:t>investigational</w:t>
      </w:r>
      <w:r w:rsidRPr="00E87067">
        <w:t xml:space="preserve"> products. The Research Pharmacist must respond immediately to recall notices and return </w:t>
      </w:r>
      <w:r w:rsidR="009B3AA1">
        <w:t>investigational</w:t>
      </w:r>
      <w:r w:rsidRPr="00E87067">
        <w:t xml:space="preserve"> </w:t>
      </w:r>
      <w:r w:rsidR="00B66418">
        <w:t>product</w:t>
      </w:r>
      <w:r w:rsidRPr="00E87067">
        <w:t xml:space="preserve"> as directed by </w:t>
      </w:r>
      <w:r w:rsidR="001E30C8">
        <w:t xml:space="preserve">the </w:t>
      </w:r>
      <w:r w:rsidRPr="00E87067">
        <w:t>DMID</w:t>
      </w:r>
    </w:p>
    <w:p w14:paraId="7D038CF7" w14:textId="71640B42" w:rsidR="00FF3B71" w:rsidRPr="00E87067" w:rsidRDefault="00BC7A6C" w:rsidP="00C166FD">
      <w:pPr>
        <w:pStyle w:val="ListParagraph"/>
        <w:numPr>
          <w:ilvl w:val="0"/>
          <w:numId w:val="36"/>
        </w:numPr>
        <w:ind w:left="1080"/>
      </w:pPr>
      <w:r>
        <w:t>When</w:t>
      </w:r>
      <w:r w:rsidR="00FF3B71" w:rsidRPr="00E87067">
        <w:t xml:space="preserve"> there are additional instructions regarding return of </w:t>
      </w:r>
      <w:r w:rsidR="009B3AA1">
        <w:t>investigational</w:t>
      </w:r>
      <w:r w:rsidR="00FF3B71" w:rsidRPr="00E87067">
        <w:t xml:space="preserve"> product, those instructions must be specified in a protocol-specific document(s) or be conveyed by </w:t>
      </w:r>
      <w:r w:rsidR="001E30C8">
        <w:t xml:space="preserve">the </w:t>
      </w:r>
      <w:r w:rsidR="00FF3B71" w:rsidRPr="00E87067">
        <w:t>DMID</w:t>
      </w:r>
    </w:p>
    <w:p w14:paraId="0C43D0E0" w14:textId="77777777" w:rsidR="00FF3B71" w:rsidRPr="00E87067" w:rsidRDefault="00FF3B71" w:rsidP="007528C7">
      <w:pPr>
        <w:pStyle w:val="ListStyle3"/>
      </w:pPr>
      <w:bookmarkStart w:id="98" w:name="3.4.2_On-site_Destruction"/>
      <w:bookmarkStart w:id="99" w:name="_Toc25151403"/>
      <w:bookmarkEnd w:id="98"/>
      <w:r w:rsidRPr="00E87067">
        <w:t>On-site Destruction</w:t>
      </w:r>
      <w:bookmarkEnd w:id="99"/>
    </w:p>
    <w:p w14:paraId="20B0DFA5" w14:textId="7F03C084" w:rsidR="00FF3B71" w:rsidRPr="00E87067" w:rsidRDefault="00842FD8" w:rsidP="007528C7">
      <w:pPr>
        <w:pStyle w:val="ListParagraph2"/>
        <w:ind w:left="1080"/>
      </w:pPr>
      <w:r>
        <w:t xml:space="preserve">The </w:t>
      </w:r>
      <w:r w:rsidR="00FF3B71" w:rsidRPr="00E87067">
        <w:t xml:space="preserve">DMID will provide written authorization for the destruction of </w:t>
      </w:r>
      <w:r w:rsidR="009B3AA1">
        <w:t>investigational</w:t>
      </w:r>
      <w:r w:rsidR="00FF3B71" w:rsidRPr="00E87067">
        <w:t xml:space="preserve"> products. The </w:t>
      </w:r>
      <w:r w:rsidR="009B3AA1">
        <w:t>investigational</w:t>
      </w:r>
      <w:r w:rsidR="00FF3B71" w:rsidRPr="00E87067">
        <w:t xml:space="preserve"> products to be destroyed must be quarantined in a separate area from the active stock</w:t>
      </w:r>
    </w:p>
    <w:p w14:paraId="3C806E3F" w14:textId="39B8FA35" w:rsidR="00FF3B71" w:rsidRPr="00E87067" w:rsidRDefault="00FF3B71" w:rsidP="007528C7">
      <w:pPr>
        <w:pStyle w:val="ListParagraph2"/>
        <w:ind w:left="1080"/>
      </w:pPr>
      <w:r w:rsidRPr="00E87067">
        <w:t xml:space="preserve">Destruction should follow instructions in the protocol and MOP. If instructions are not provided in the protocol and MOP, the site should defer to their institutional policies and procedures and local, state, and federal regulations for destruction of </w:t>
      </w:r>
      <w:r w:rsidR="009B3AA1">
        <w:t>investigational</w:t>
      </w:r>
      <w:r w:rsidRPr="00E87067">
        <w:t xml:space="preserve"> product.</w:t>
      </w:r>
      <w:r w:rsidR="00813DEA">
        <w:t xml:space="preserve"> </w:t>
      </w:r>
      <w:r w:rsidR="00224E4C">
        <w:t>Stric</w:t>
      </w:r>
      <w:r w:rsidR="00813DEA">
        <w:t>t</w:t>
      </w:r>
      <w:r w:rsidR="00224E4C">
        <w:t>ly adhere to</w:t>
      </w:r>
      <w:r w:rsidRPr="00E87067">
        <w:t xml:space="preserve"> </w:t>
      </w:r>
      <w:r w:rsidR="00813DEA">
        <w:t>a</w:t>
      </w:r>
      <w:r w:rsidRPr="00E87067">
        <w:t>ny applicable medical waste standards</w:t>
      </w:r>
    </w:p>
    <w:p w14:paraId="26122E4C" w14:textId="4E581040" w:rsidR="00FF3B71" w:rsidRPr="00E87067" w:rsidRDefault="00FF3B71" w:rsidP="007528C7">
      <w:pPr>
        <w:pStyle w:val="ListParagraph2"/>
        <w:ind w:left="1080"/>
      </w:pPr>
      <w:r w:rsidRPr="00E87067">
        <w:t xml:space="preserve">Destruction of </w:t>
      </w:r>
      <w:r w:rsidR="009B3AA1">
        <w:t>investigational</w:t>
      </w:r>
      <w:r w:rsidRPr="00E87067">
        <w:t xml:space="preserve"> product must be documented in the accountability log. The DMID and/or the supplier may request a copy of this documentation</w:t>
      </w:r>
    </w:p>
    <w:p w14:paraId="2286D10F" w14:textId="2237E5C4" w:rsidR="00FF3B71" w:rsidRPr="00E87067" w:rsidRDefault="00FF3B71" w:rsidP="00B76405">
      <w:pPr>
        <w:pStyle w:val="Heading1"/>
      </w:pPr>
      <w:bookmarkStart w:id="100" w:name="4_Storage_of_Study_Product"/>
      <w:bookmarkStart w:id="101" w:name="_Toc25151404"/>
      <w:bookmarkStart w:id="102" w:name="_Ref207334470"/>
      <w:bookmarkStart w:id="103" w:name="_Toc224716370"/>
      <w:bookmarkEnd w:id="100"/>
      <w:r>
        <w:t xml:space="preserve">Storage of </w:t>
      </w:r>
      <w:r w:rsidR="009B3AA1">
        <w:t>Investigational</w:t>
      </w:r>
      <w:r>
        <w:t xml:space="preserve"> Product</w:t>
      </w:r>
      <w:bookmarkEnd w:id="101"/>
      <w:bookmarkEnd w:id="102"/>
      <w:bookmarkEnd w:id="103"/>
    </w:p>
    <w:p w14:paraId="290EEFD0" w14:textId="2DA93C62" w:rsidR="00FF3B71" w:rsidRPr="00E87067" w:rsidRDefault="00FF3B71" w:rsidP="00E87067">
      <w:r w:rsidRPr="00E87067">
        <w:t xml:space="preserve">The PI or designated Research Pharmacist is responsible for the storage of </w:t>
      </w:r>
      <w:r w:rsidR="009B3AA1">
        <w:t>investigational</w:t>
      </w:r>
      <w:r w:rsidRPr="00E87067">
        <w:t xml:space="preserve"> product(s) in the research pharmacy, ensures that the proper storage conditions are maintained, and that documentation is adequate. </w:t>
      </w:r>
      <w:r w:rsidR="009B3AA1">
        <w:t>Investigational</w:t>
      </w:r>
      <w:r w:rsidRPr="00E87067">
        <w:t xml:space="preserve"> product(s) should be stored appropriately, including segregation in a secure location and under controlled storage conditions as specified in the protocol, MOP or by the manufacturer and in accordance with applicable regulatory requirements.</w:t>
      </w:r>
    </w:p>
    <w:p w14:paraId="3D12BD5A" w14:textId="31F887CF" w:rsidR="00FF3B71" w:rsidRDefault="00FF3B71" w:rsidP="00E87067">
      <w:r w:rsidRPr="00E87067">
        <w:lastRenderedPageBreak/>
        <w:t xml:space="preserve">See </w:t>
      </w:r>
      <w:r w:rsidR="000D3063">
        <w:t xml:space="preserve">also </w:t>
      </w:r>
      <w:r w:rsidR="00EB7D1A">
        <w:t xml:space="preserve">section </w:t>
      </w:r>
      <w:r w:rsidR="001D74D5">
        <w:fldChar w:fldCharType="begin"/>
      </w:r>
      <w:r w:rsidR="001D74D5">
        <w:instrText xml:space="preserve"> REF _Ref207332441 \r \h </w:instrText>
      </w:r>
      <w:r w:rsidR="001D74D5">
        <w:fldChar w:fldCharType="separate"/>
      </w:r>
      <w:r w:rsidR="001D74D5">
        <w:t xml:space="preserve">10.9. </w:t>
      </w:r>
      <w:r w:rsidR="001D74D5">
        <w:fldChar w:fldCharType="end"/>
      </w:r>
      <w:r w:rsidR="00EB7D1A">
        <w:t>(</w:t>
      </w:r>
      <w:r w:rsidRPr="00E87067">
        <w:t xml:space="preserve">ICH </w:t>
      </w:r>
      <w:r w:rsidR="001F1828">
        <w:t>E6</w:t>
      </w:r>
      <w:r w:rsidR="005368BA">
        <w:t>,</w:t>
      </w:r>
      <w:r w:rsidR="001F1828">
        <w:t xml:space="preserve"> </w:t>
      </w:r>
      <w:r w:rsidRPr="00E87067">
        <w:t>GCP section 4.6.4</w:t>
      </w:r>
      <w:r w:rsidR="00EB7D1A">
        <w:t>)</w:t>
      </w:r>
      <w:r w:rsidRPr="00E87067">
        <w:t>.</w:t>
      </w:r>
    </w:p>
    <w:p w14:paraId="7FA51D96" w14:textId="34C34A8A" w:rsidR="008031D9" w:rsidRDefault="009B3AA1" w:rsidP="008031D9">
      <w:r>
        <w:t>Investigational</w:t>
      </w:r>
      <w:r w:rsidR="008031D9">
        <w:t xml:space="preserve"> products for the DMID studies must be stored in safe, secure, and appropriate locations and at correct storage conditions based on the requirements of the manufacturer and the </w:t>
      </w:r>
      <w:r>
        <w:t>investigational</w:t>
      </w:r>
      <w:r w:rsidR="008031D9">
        <w:t xml:space="preserve"> protocol. For the purposes of this document, this location will be referred to as the research pharmacy. For further details, see the definition for research pharmacy.</w:t>
      </w:r>
    </w:p>
    <w:p w14:paraId="6804B1F4" w14:textId="3E592A0C" w:rsidR="008031D9" w:rsidRPr="00E87067" w:rsidRDefault="008031D9" w:rsidP="008031D9">
      <w:r>
        <w:t xml:space="preserve">For most of the DMID studies conducted under DMID-held INDs/IDEs, </w:t>
      </w:r>
      <w:r w:rsidR="009B3AA1">
        <w:t>investigational</w:t>
      </w:r>
      <w:r>
        <w:t xml:space="preserve"> products will be supplied through the DMID Clinical Materials Services (CMS). Less frequently, products are supplied directly from the manufacturer, purchased commercially through a wholesaler, or obtained through the hospital/institutional pharmacy.</w:t>
      </w:r>
    </w:p>
    <w:p w14:paraId="57E1EE1E" w14:textId="77777777" w:rsidR="00BE7CDD" w:rsidRPr="00BE7CDD" w:rsidRDefault="00BE7CDD" w:rsidP="00BE7CDD">
      <w:pPr>
        <w:pStyle w:val="ListParagraph"/>
        <w:numPr>
          <w:ilvl w:val="0"/>
          <w:numId w:val="104"/>
        </w:numPr>
        <w:spacing w:before="240" w:after="240"/>
        <w:contextualSpacing w:val="0"/>
        <w:rPr>
          <w:rFonts w:ascii="Aptos Display" w:eastAsia="Times New Roman" w:hAnsi="Aptos Display" w:cs="Times New Roman"/>
          <w:b/>
          <w:bCs/>
          <w:vanish/>
          <w:color w:val="03569B"/>
          <w:sz w:val="36"/>
          <w:szCs w:val="28"/>
          <w:lang w:bidi="en-US"/>
        </w:rPr>
      </w:pPr>
      <w:bookmarkStart w:id="104" w:name="_Toc22044471"/>
      <w:bookmarkStart w:id="105" w:name="_Toc22044555"/>
      <w:bookmarkStart w:id="106" w:name="_Toc25150799"/>
      <w:bookmarkStart w:id="107" w:name="_Toc25151405"/>
      <w:bookmarkStart w:id="108" w:name="4.1_Space,_Security,_and_Segregation"/>
      <w:bookmarkStart w:id="109" w:name="_Toc25151406"/>
      <w:bookmarkStart w:id="110" w:name="_Ref207333926"/>
      <w:bookmarkEnd w:id="104"/>
      <w:bookmarkEnd w:id="105"/>
      <w:bookmarkEnd w:id="106"/>
      <w:bookmarkEnd w:id="107"/>
      <w:bookmarkEnd w:id="108"/>
    </w:p>
    <w:p w14:paraId="12F707C8" w14:textId="724839E5" w:rsidR="00FF3B71" w:rsidRPr="00E87067" w:rsidRDefault="00FF3B71" w:rsidP="00BE7CDD">
      <w:pPr>
        <w:pStyle w:val="Heading3b"/>
      </w:pPr>
      <w:r w:rsidRPr="00E87067">
        <w:t>Space, Security, and Segregation</w:t>
      </w:r>
      <w:bookmarkEnd w:id="109"/>
      <w:bookmarkEnd w:id="110"/>
    </w:p>
    <w:p w14:paraId="29F22E38" w14:textId="77777777" w:rsidR="00FF3B71" w:rsidRPr="00E87067" w:rsidRDefault="00FF3B71" w:rsidP="007528C7">
      <w:pPr>
        <w:pStyle w:val="ListStyle3"/>
      </w:pPr>
      <w:bookmarkStart w:id="111" w:name="_Toc25151407"/>
      <w:r w:rsidRPr="00E87067">
        <w:t>Space</w:t>
      </w:r>
      <w:bookmarkEnd w:id="111"/>
    </w:p>
    <w:p w14:paraId="4AE3D46A" w14:textId="5DF92E7C" w:rsidR="00FF3B71" w:rsidRPr="00E87067" w:rsidRDefault="00FF3B71" w:rsidP="007528C7">
      <w:pPr>
        <w:pStyle w:val="ListParagraph2"/>
        <w:ind w:left="1080"/>
      </w:pPr>
      <w:r w:rsidRPr="00E87067">
        <w:t xml:space="preserve">Upon receipt, all </w:t>
      </w:r>
      <w:r w:rsidR="009B3AA1">
        <w:t>investigational</w:t>
      </w:r>
      <w:r w:rsidRPr="00E87067">
        <w:t xml:space="preserve"> products supplied for a specific protocol must be stored in the research pharmacy (see definition for </w:t>
      </w:r>
      <w:r w:rsidRPr="00B51963">
        <w:rPr>
          <w:i/>
          <w:iCs/>
        </w:rPr>
        <w:t>research pharmacy</w:t>
      </w:r>
      <w:r w:rsidRPr="00E87067">
        <w:t>)</w:t>
      </w:r>
      <w:r w:rsidR="00BC7A6C">
        <w:t>.</w:t>
      </w:r>
    </w:p>
    <w:p w14:paraId="2158B795" w14:textId="088F9A50" w:rsidR="00FF3B71" w:rsidRPr="00E87067" w:rsidRDefault="00FF3B71" w:rsidP="007528C7">
      <w:pPr>
        <w:pStyle w:val="ListParagraph2"/>
        <w:ind w:left="1080"/>
      </w:pPr>
      <w:r w:rsidRPr="00E87067">
        <w:t xml:space="preserve">Adequate pharmacy space, facilities, equipment, and supplies for storage, preparation, packaging, and dispensing of </w:t>
      </w:r>
      <w:r w:rsidR="009B3AA1">
        <w:t>investigational</w:t>
      </w:r>
      <w:r w:rsidRPr="00E87067">
        <w:t xml:space="preserve"> products must be assessed prior to receiving </w:t>
      </w:r>
      <w:r w:rsidR="009B3AA1">
        <w:t>investigational</w:t>
      </w:r>
      <w:r w:rsidRPr="00E87067">
        <w:t xml:space="preserve"> product(s) at the site to guarantee appropriate storage, ensuring protection from vermin, extreme temperature, and humidity</w:t>
      </w:r>
    </w:p>
    <w:p w14:paraId="211C00B5" w14:textId="23E3B76D" w:rsidR="00D50B8F" w:rsidRPr="00E87067" w:rsidRDefault="00FF3B71" w:rsidP="007528C7">
      <w:pPr>
        <w:pStyle w:val="ListParagraph2"/>
        <w:numPr>
          <w:ilvl w:val="0"/>
          <w:numId w:val="39"/>
        </w:numPr>
        <w:ind w:left="1440"/>
      </w:pPr>
      <w:r w:rsidRPr="00E87067">
        <w:t xml:space="preserve">The research pharmacy facilities must </w:t>
      </w:r>
      <w:r w:rsidR="00842FD8" w:rsidRPr="00E87067">
        <w:t>follow</w:t>
      </w:r>
      <w:r w:rsidRPr="00E87067">
        <w:t xml:space="preserve"> all local, state, and federal regulations and be of adequate size, organization, and ample lighting. Hand washing and cleaning facilities must be available for cleaning purposes and </w:t>
      </w:r>
      <w:r w:rsidR="00842FD8" w:rsidRPr="00E87067">
        <w:t>workspaces</w:t>
      </w:r>
      <w:r w:rsidRPr="00E87067">
        <w:t xml:space="preserve"> should be adequate for the preparation of </w:t>
      </w:r>
      <w:r w:rsidR="009B3AA1">
        <w:t>investigational</w:t>
      </w:r>
      <w:r w:rsidRPr="00E87067">
        <w:t xml:space="preserve"> products, </w:t>
      </w:r>
      <w:r w:rsidR="009B3AA1">
        <w:t>investigational</w:t>
      </w:r>
      <w:r w:rsidRPr="00E87067">
        <w:t xml:space="preserve"> product accountability, and record management</w:t>
      </w:r>
    </w:p>
    <w:p w14:paraId="110DA8E4" w14:textId="55847524" w:rsidR="005B6BAE" w:rsidRDefault="009B3AA1" w:rsidP="007528C7">
      <w:pPr>
        <w:pStyle w:val="ListParagraph2"/>
        <w:numPr>
          <w:ilvl w:val="0"/>
          <w:numId w:val="39"/>
        </w:numPr>
        <w:ind w:left="1440"/>
      </w:pPr>
      <w:r>
        <w:t>Investigational</w:t>
      </w:r>
      <w:r w:rsidR="00FF3B71" w:rsidRPr="00E87067">
        <w:t xml:space="preserve"> product(s) requiring special storage, handling, or preparation (for example, hazardous drugs, non-standard temperature requirements, protection from light, sterile or aseptic conditions, etc.) should be identified and availability of space and equipment for storage should be determined by the Research Pharmacist prior to receiving </w:t>
      </w:r>
      <w:r>
        <w:t>investigational</w:t>
      </w:r>
      <w:r w:rsidR="00FF3B71" w:rsidRPr="00E87067">
        <w:t xml:space="preserve"> product(s) at the site</w:t>
      </w:r>
      <w:bookmarkStart w:id="112" w:name="_Toc25151408"/>
      <w:r w:rsidR="005B6BAE">
        <w:t xml:space="preserve"> </w:t>
      </w:r>
    </w:p>
    <w:p w14:paraId="06A8DD9E" w14:textId="4534AE40" w:rsidR="00FF3B71" w:rsidRPr="004F2923" w:rsidRDefault="00FF3B71" w:rsidP="007528C7">
      <w:pPr>
        <w:pStyle w:val="ListStyle3"/>
      </w:pPr>
      <w:r w:rsidRPr="004F2923">
        <w:t>Security</w:t>
      </w:r>
      <w:bookmarkEnd w:id="112"/>
    </w:p>
    <w:p w14:paraId="174AB830" w14:textId="770607F6" w:rsidR="00FF3B71" w:rsidRPr="00E87067" w:rsidRDefault="009B3AA1" w:rsidP="007528C7">
      <w:pPr>
        <w:pStyle w:val="ListParagraph2"/>
        <w:ind w:left="1080"/>
      </w:pPr>
      <w:r>
        <w:t>Investigational</w:t>
      </w:r>
      <w:r w:rsidR="00FF3B71" w:rsidRPr="00E87067">
        <w:t xml:space="preserve"> products and supplies must be kept </w:t>
      </w:r>
      <w:r w:rsidR="001B344D" w:rsidRPr="00E87067">
        <w:t>in</w:t>
      </w:r>
      <w:r w:rsidR="00FF3B71" w:rsidRPr="00E87067">
        <w:t xml:space="preserve"> custody of the Research Pharmacist or his/her designee until dispensed for the subject or upon final disposition</w:t>
      </w:r>
    </w:p>
    <w:p w14:paraId="2888CF59" w14:textId="10BF837D" w:rsidR="00FF3B71" w:rsidRPr="00E87067" w:rsidRDefault="00FF3B71" w:rsidP="007528C7">
      <w:pPr>
        <w:pStyle w:val="ListParagraph2"/>
        <w:ind w:left="1080"/>
      </w:pPr>
      <w:r w:rsidRPr="00E87067">
        <w:t xml:space="preserve">The storage area for </w:t>
      </w:r>
      <w:r w:rsidR="009B3AA1">
        <w:t>investigational</w:t>
      </w:r>
      <w:r w:rsidRPr="00E87067">
        <w:t xml:space="preserve"> products and supplies must have limited and </w:t>
      </w:r>
      <w:r w:rsidR="001B344D" w:rsidRPr="00E87067">
        <w:t>secure</w:t>
      </w:r>
      <w:r w:rsidRPr="00E87067">
        <w:t xml:space="preserve"> access and must be locked when not in use</w:t>
      </w:r>
    </w:p>
    <w:p w14:paraId="23874EDE" w14:textId="2338565C" w:rsidR="00FF3B71" w:rsidRPr="00E87067" w:rsidRDefault="00FF3B71" w:rsidP="007528C7">
      <w:pPr>
        <w:pStyle w:val="ListParagraph2"/>
        <w:ind w:left="1080"/>
      </w:pPr>
      <w:r w:rsidRPr="00E87067">
        <w:t xml:space="preserve">Access to </w:t>
      </w:r>
      <w:r w:rsidR="009B3AA1">
        <w:t>investigational</w:t>
      </w:r>
      <w:r w:rsidRPr="00E87067">
        <w:t xml:space="preserve"> product is limited to essential and authorized personnel only with approved access to the research pharmacy, such as the designated Research Pharmacist or his/her designee</w:t>
      </w:r>
    </w:p>
    <w:p w14:paraId="18E963B5" w14:textId="29A0444D" w:rsidR="00FF3B71" w:rsidRPr="00E87067" w:rsidRDefault="00FF3B71" w:rsidP="007528C7">
      <w:pPr>
        <w:pStyle w:val="ListParagraph2"/>
        <w:ind w:left="1080"/>
      </w:pPr>
      <w:r w:rsidRPr="00E87067">
        <w:t xml:space="preserve">Systems must be in place to prevent unauthorized entry and unauthorized access to </w:t>
      </w:r>
      <w:r w:rsidR="009B3AA1">
        <w:t>investigational</w:t>
      </w:r>
      <w:r w:rsidRPr="00E87067">
        <w:t xml:space="preserve"> products and </w:t>
      </w:r>
      <w:r w:rsidR="00D335F0" w:rsidRPr="00E87067">
        <w:t>to identify</w:t>
      </w:r>
      <w:r w:rsidRPr="00E87067">
        <w:t xml:space="preserve"> and </w:t>
      </w:r>
      <w:r w:rsidR="0017428A" w:rsidRPr="00E87067">
        <w:t>alert</w:t>
      </w:r>
      <w:r w:rsidRPr="00E87067">
        <w:t xml:space="preserve"> staff when proper security conditions have been compromised</w:t>
      </w:r>
    </w:p>
    <w:p w14:paraId="4CA2CE0D" w14:textId="5CE09B87" w:rsidR="00FF3B71" w:rsidRPr="00E87067" w:rsidRDefault="00967162" w:rsidP="00C166FD">
      <w:pPr>
        <w:pStyle w:val="ListParagraph2"/>
        <w:numPr>
          <w:ilvl w:val="0"/>
          <w:numId w:val="41"/>
        </w:numPr>
        <w:ind w:left="1440"/>
      </w:pPr>
      <w:r>
        <w:lastRenderedPageBreak/>
        <w:t>When</w:t>
      </w:r>
      <w:r w:rsidR="00FF3B71" w:rsidRPr="00E87067">
        <w:t xml:space="preserve"> </w:t>
      </w:r>
      <w:r w:rsidR="009B3AA1">
        <w:t>investigational</w:t>
      </w:r>
      <w:r>
        <w:t xml:space="preserve"> product </w:t>
      </w:r>
      <w:r w:rsidR="00FF3B71" w:rsidRPr="00E87067">
        <w:t xml:space="preserve">security has been compromised, the PI and the DMID must be notified. This breach of security, along with additional </w:t>
      </w:r>
      <w:r w:rsidR="001B344D" w:rsidRPr="00E87067">
        <w:t>correspondence</w:t>
      </w:r>
      <w:r w:rsidR="00FF3B71" w:rsidRPr="00E87067">
        <w:t>, must be documented</w:t>
      </w:r>
    </w:p>
    <w:p w14:paraId="1CC7A483" w14:textId="77777777" w:rsidR="00FF3B71" w:rsidRPr="004F2923" w:rsidRDefault="00FF3B71" w:rsidP="007528C7">
      <w:pPr>
        <w:pStyle w:val="ListStyle3"/>
      </w:pPr>
      <w:bookmarkStart w:id="113" w:name="_Toc25151409"/>
      <w:r w:rsidRPr="004F2923">
        <w:t>Segregation</w:t>
      </w:r>
      <w:bookmarkEnd w:id="113"/>
    </w:p>
    <w:p w14:paraId="31FEFCA0" w14:textId="202C299B" w:rsidR="00FF3B71" w:rsidRPr="00E87067" w:rsidRDefault="009B3AA1" w:rsidP="007528C7">
      <w:pPr>
        <w:pStyle w:val="ListParagraph2"/>
        <w:ind w:left="1080"/>
      </w:pPr>
      <w:r>
        <w:t>Investigational</w:t>
      </w:r>
      <w:r w:rsidR="00FF3B71" w:rsidRPr="00E87067">
        <w:t xml:space="preserve"> products should be segregated from non-</w:t>
      </w:r>
      <w:r>
        <w:t>investigational</w:t>
      </w:r>
      <w:r w:rsidR="00FF3B71" w:rsidRPr="00E87067">
        <w:t xml:space="preserve"> products; </w:t>
      </w:r>
      <w:r>
        <w:t>investigational</w:t>
      </w:r>
      <w:r w:rsidR="00FF3B71" w:rsidRPr="00E87067">
        <w:t xml:space="preserve"> products for different protocols should be segregated</w:t>
      </w:r>
    </w:p>
    <w:p w14:paraId="1E2E4119" w14:textId="04691100" w:rsidR="00FF3B71" w:rsidRPr="00E87067" w:rsidRDefault="009B3AA1" w:rsidP="007528C7">
      <w:pPr>
        <w:pStyle w:val="ListParagraph2"/>
        <w:ind w:left="1080"/>
      </w:pPr>
      <w:r>
        <w:t>Investigational</w:t>
      </w:r>
      <w:r w:rsidR="00FF3B71" w:rsidRPr="00E87067">
        <w:t xml:space="preserve"> </w:t>
      </w:r>
      <w:r w:rsidR="0017428A" w:rsidRPr="00E87067">
        <w:t>products</w:t>
      </w:r>
      <w:r w:rsidR="00FF3B71" w:rsidRPr="00E87067">
        <w:t xml:space="preserve"> </w:t>
      </w:r>
      <w:r w:rsidR="00FF3B71" w:rsidRPr="002569D0">
        <w:rPr>
          <w:b/>
          <w:bCs/>
        </w:rPr>
        <w:t>must not</w:t>
      </w:r>
      <w:r w:rsidR="00FF3B71" w:rsidRPr="00E87067">
        <w:t xml:space="preserve"> be stored with food, specimens, or any other products that may contaminate or compromise the quality of the </w:t>
      </w:r>
      <w:r>
        <w:t>investigational</w:t>
      </w:r>
      <w:r w:rsidR="00FF3B71" w:rsidRPr="00E87067">
        <w:t xml:space="preserve"> product</w:t>
      </w:r>
    </w:p>
    <w:p w14:paraId="6F840DAF" w14:textId="5C91E9A6" w:rsidR="00FF3B71" w:rsidRPr="00E87067" w:rsidRDefault="00FF3B71" w:rsidP="007528C7">
      <w:pPr>
        <w:pStyle w:val="ListParagraph2"/>
        <w:ind w:left="1080"/>
      </w:pPr>
      <w:r w:rsidRPr="00E87067">
        <w:t xml:space="preserve">For blinded studies, the active </w:t>
      </w:r>
      <w:r w:rsidR="009B3AA1">
        <w:t>investigational</w:t>
      </w:r>
      <w:r w:rsidRPr="00E87067">
        <w:t xml:space="preserve"> product must not be stored alongside the placebo agent, unless packaged together (e.g., kits); there must be a clear separation between the active and placebo </w:t>
      </w:r>
      <w:r w:rsidR="009B3AA1">
        <w:t>investigational</w:t>
      </w:r>
      <w:r w:rsidRPr="00E87067">
        <w:t xml:space="preserve"> products</w:t>
      </w:r>
    </w:p>
    <w:p w14:paraId="380DD5DB" w14:textId="4CF3233A" w:rsidR="00FF3B71" w:rsidRPr="00E87067" w:rsidRDefault="00FF3B71" w:rsidP="007528C7">
      <w:pPr>
        <w:pStyle w:val="ListParagraph2"/>
        <w:ind w:left="1080"/>
      </w:pPr>
      <w:r w:rsidRPr="00E87067">
        <w:t>Product that is designated for return or destruction must be segregated from active stock and placed in quarantine until final disposition</w:t>
      </w:r>
    </w:p>
    <w:p w14:paraId="05D1FFF7" w14:textId="77777777" w:rsidR="00FF3B71" w:rsidRPr="00E87067" w:rsidRDefault="00FF3B71" w:rsidP="007528C7">
      <w:pPr>
        <w:pStyle w:val="Heading3b"/>
      </w:pPr>
      <w:bookmarkStart w:id="114" w:name="_Toc22044476"/>
      <w:bookmarkStart w:id="115" w:name="_Toc22044560"/>
      <w:bookmarkStart w:id="116" w:name="_Toc25150804"/>
      <w:bookmarkStart w:id="117" w:name="_Toc25151410"/>
      <w:bookmarkStart w:id="118" w:name="4.2_Temperature_and_Environmental_Contro"/>
      <w:bookmarkStart w:id="119" w:name="_Toc25151411"/>
      <w:bookmarkEnd w:id="114"/>
      <w:bookmarkEnd w:id="115"/>
      <w:bookmarkEnd w:id="116"/>
      <w:bookmarkEnd w:id="117"/>
      <w:bookmarkEnd w:id="118"/>
      <w:r w:rsidRPr="00E87067">
        <w:t>Temperature and Environmental Control</w:t>
      </w:r>
      <w:bookmarkEnd w:id="119"/>
    </w:p>
    <w:p w14:paraId="64554C31" w14:textId="0937EAE8" w:rsidR="00FF3B71" w:rsidRPr="00E87067" w:rsidRDefault="00FF3B71" w:rsidP="007528C7">
      <w:pPr>
        <w:pStyle w:val="ListParagraph2"/>
      </w:pPr>
      <w:r w:rsidRPr="00E87067">
        <w:t xml:space="preserve">All pharmacy </w:t>
      </w:r>
      <w:r w:rsidR="009B3AA1">
        <w:t>investigational</w:t>
      </w:r>
      <w:r w:rsidRPr="00E87067">
        <w:t xml:space="preserve"> product storage areas and pharmacy refrigerators and freezers must have TWO INDEPENDENT temperature monitoring devices</w:t>
      </w:r>
    </w:p>
    <w:p w14:paraId="3758ED1C" w14:textId="2EBAA81E" w:rsidR="00FF3B71" w:rsidRPr="00E87067" w:rsidRDefault="00FF3B71" w:rsidP="007528C7">
      <w:pPr>
        <w:pStyle w:val="ListParagraph2"/>
      </w:pPr>
      <w:r w:rsidRPr="00E87067">
        <w:t>Sites must address proper storage conditions in the protocol planning stages such as temperature, light, moisture, ventilation, and sanitation</w:t>
      </w:r>
    </w:p>
    <w:p w14:paraId="698D27EE" w14:textId="6C04C50E" w:rsidR="00FF3B71" w:rsidRPr="00E87067" w:rsidRDefault="00FF3B71" w:rsidP="007528C7">
      <w:pPr>
        <w:pStyle w:val="ListParagraph2"/>
      </w:pPr>
      <w:r w:rsidRPr="00E87067">
        <w:t xml:space="preserve">Temperature and environmental storage for </w:t>
      </w:r>
      <w:r w:rsidR="009B3AA1">
        <w:t>investigational</w:t>
      </w:r>
      <w:r w:rsidRPr="00E87067">
        <w:t xml:space="preserve"> product(s) is protocol specific. The research pharmacy must be maintained at the appropriate temperature setting to preserve the integrity, stability, and effectiveness of </w:t>
      </w:r>
      <w:r w:rsidR="009B3AA1">
        <w:t>investigational</w:t>
      </w:r>
      <w:r w:rsidRPr="00E87067">
        <w:t xml:space="preserve"> products for each protocol. Detailed instructions regarding appropriate conditions are described in the product package insert, the IB, or the protocol/MOP</w:t>
      </w:r>
    </w:p>
    <w:p w14:paraId="6741D0B7" w14:textId="5C417797" w:rsidR="00FF3B71" w:rsidRPr="00E87067" w:rsidRDefault="00FF3B71" w:rsidP="007528C7">
      <w:pPr>
        <w:pStyle w:val="ListParagraph2"/>
      </w:pPr>
      <w:r w:rsidRPr="00E87067">
        <w:t xml:space="preserve">Temperature and environmental control must be maintained from the time of receipt of </w:t>
      </w:r>
      <w:r w:rsidR="009B3AA1">
        <w:t>investigational</w:t>
      </w:r>
      <w:r w:rsidRPr="00E87067">
        <w:t xml:space="preserve"> product until the product has been used by the subject or is deemed no longer usable, unless otherwise specified in the protocol or by the manufacturer</w:t>
      </w:r>
    </w:p>
    <w:p w14:paraId="62F0F4F7" w14:textId="0B92BB0C" w:rsidR="00FF3B71" w:rsidRPr="00E87067" w:rsidRDefault="00A7497C" w:rsidP="007528C7">
      <w:pPr>
        <w:pStyle w:val="ListParagraph2"/>
      </w:pPr>
      <w:r>
        <w:t xml:space="preserve">The </w:t>
      </w:r>
      <w:r w:rsidR="00FF3B71" w:rsidRPr="00E87067">
        <w:t>DMID uses the temperature ranges in whole numbers as specified in the USP (see Glossary of Terms for USP Storage Conditions Definitions). As such, any temperature recording requiring the PST assessment will be rounded to the nearest whole number (e.</w:t>
      </w:r>
      <w:r w:rsidR="002B25D0">
        <w:t>g.</w:t>
      </w:r>
      <w:r w:rsidR="00FF3B71" w:rsidRPr="00E87067">
        <w:t xml:space="preserve"> for Controlled Room Temperature storage, </w:t>
      </w:r>
      <w:r w:rsidR="00E02568">
        <w:t xml:space="preserve">temperatures between </w:t>
      </w:r>
      <w:r w:rsidR="00FF3B71" w:rsidRPr="00E87067">
        <w:t>19.5</w:t>
      </w:r>
      <w:r w:rsidR="00686BF9">
        <w:t>0</w:t>
      </w:r>
      <w:r w:rsidR="00FF3B71" w:rsidRPr="00692D9A">
        <w:rPr>
          <w:vertAlign w:val="superscript"/>
        </w:rPr>
        <w:t>◦</w:t>
      </w:r>
      <w:r w:rsidR="00FF3B71" w:rsidRPr="00E87067">
        <w:t xml:space="preserve">C </w:t>
      </w:r>
      <w:r w:rsidR="00E02568">
        <w:t>and</w:t>
      </w:r>
      <w:r w:rsidR="00E02568" w:rsidRPr="00E87067">
        <w:t xml:space="preserve"> </w:t>
      </w:r>
      <w:r w:rsidR="00FF3B71" w:rsidRPr="00E87067">
        <w:t>19.9</w:t>
      </w:r>
      <w:r w:rsidR="00686BF9">
        <w:t>9</w:t>
      </w:r>
      <w:r w:rsidR="00FF3B71" w:rsidRPr="00692D9A">
        <w:rPr>
          <w:vertAlign w:val="superscript"/>
        </w:rPr>
        <w:t>◦</w:t>
      </w:r>
      <w:r w:rsidR="00FF3B71" w:rsidRPr="00E87067">
        <w:t>C round up to 20</w:t>
      </w:r>
      <w:r w:rsidR="00FF3B71" w:rsidRPr="00692D9A">
        <w:rPr>
          <w:vertAlign w:val="superscript"/>
        </w:rPr>
        <w:t>◦</w:t>
      </w:r>
      <w:r w:rsidR="00FF3B71" w:rsidRPr="00E87067">
        <w:t xml:space="preserve">C and </w:t>
      </w:r>
      <w:r w:rsidR="00686BF9">
        <w:t xml:space="preserve">temperatures between </w:t>
      </w:r>
      <w:r w:rsidR="00FF3B71" w:rsidRPr="00E87067">
        <w:t>25.1</w:t>
      </w:r>
      <w:r w:rsidR="00686BF9">
        <w:t>0</w:t>
      </w:r>
      <w:r w:rsidR="00FF3B71" w:rsidRPr="00692D9A">
        <w:rPr>
          <w:vertAlign w:val="superscript"/>
        </w:rPr>
        <w:t>◦</w:t>
      </w:r>
      <w:r w:rsidR="00FF3B71" w:rsidRPr="00E87067">
        <w:t xml:space="preserve">C </w:t>
      </w:r>
      <w:r w:rsidR="00686BF9">
        <w:t>and</w:t>
      </w:r>
      <w:r w:rsidR="00FF3B71" w:rsidRPr="00E87067">
        <w:t xml:space="preserve"> 25.4</w:t>
      </w:r>
      <w:r w:rsidR="003D51F7">
        <w:t>9</w:t>
      </w:r>
      <w:r w:rsidR="00FF3B71" w:rsidRPr="00692D9A">
        <w:rPr>
          <w:vertAlign w:val="superscript"/>
        </w:rPr>
        <w:t>◦</w:t>
      </w:r>
      <w:r w:rsidR="00FF3B71" w:rsidRPr="00E87067">
        <w:t>C round down to 25</w:t>
      </w:r>
      <w:r w:rsidR="00FF3B71" w:rsidRPr="00692D9A">
        <w:rPr>
          <w:vertAlign w:val="superscript"/>
        </w:rPr>
        <w:t>◦</w:t>
      </w:r>
      <w:r w:rsidR="00FF3B71" w:rsidRPr="00E87067">
        <w:t>C)</w:t>
      </w:r>
    </w:p>
    <w:p w14:paraId="50F28491" w14:textId="37CD65A5" w:rsidR="00FF3B71" w:rsidRPr="00E87067" w:rsidRDefault="00FF3B71" w:rsidP="007528C7">
      <w:pPr>
        <w:pStyle w:val="Heading3b"/>
      </w:pPr>
      <w:r w:rsidRPr="00E87067">
        <w:t xml:space="preserve">Continuous Temperature Monitoring and Recording </w:t>
      </w:r>
    </w:p>
    <w:p w14:paraId="02D48A8B" w14:textId="39C9C5DD" w:rsidR="00FF3B71" w:rsidRPr="00E87067" w:rsidRDefault="6E5F1509" w:rsidP="007528C7">
      <w:pPr>
        <w:pStyle w:val="BodyTextIndent3"/>
        <w:ind w:left="0"/>
      </w:pPr>
      <w:r>
        <w:t>Research pharmacies must have equipment that can record the temperature 24 hours a day, 7 days a week, and 365 days a year.</w:t>
      </w:r>
      <w:r w:rsidR="00FF3B71">
        <w:t xml:space="preserve"> Continuous temperature monitoring and recording </w:t>
      </w:r>
      <w:r w:rsidR="00111A8C">
        <w:t>devices are</w:t>
      </w:r>
      <w:r w:rsidR="00FF3B71">
        <w:t xml:space="preserve"> required and must provide real-time and min/max temperature information for the designated </w:t>
      </w:r>
      <w:r w:rsidR="009B3AA1">
        <w:t>investigational</w:t>
      </w:r>
      <w:r w:rsidR="00FF3B71">
        <w:t xml:space="preserve"> product storage area in which the system is installed. The device must monitor and record temperatures at programmed time intervals and</w:t>
      </w:r>
      <w:r w:rsidR="009D1EF6">
        <w:t xml:space="preserve"> </w:t>
      </w:r>
      <w:r w:rsidR="00FF3B71">
        <w:t xml:space="preserve">should be set, </w:t>
      </w:r>
      <w:r w:rsidR="2503FD3F">
        <w:t>ideally,</w:t>
      </w:r>
      <w:r w:rsidR="5678C8D0">
        <w:t xml:space="preserve"> every 15 minutes</w:t>
      </w:r>
      <w:r w:rsidR="2503FD3F">
        <w:t xml:space="preserve"> with more frequent recording desirable</w:t>
      </w:r>
      <w:r w:rsidR="000352F3">
        <w:t>, but no more than 30 minutes</w:t>
      </w:r>
      <w:r w:rsidR="009E19D8">
        <w:t>. Electronic</w:t>
      </w:r>
      <w:r w:rsidR="2503FD3F">
        <w:t xml:space="preserve"> </w:t>
      </w:r>
      <w:r w:rsidR="00FC5485">
        <w:t xml:space="preserve">data must be stored on a system that is backed up on </w:t>
      </w:r>
      <w:r w:rsidR="00FC5485">
        <w:lastRenderedPageBreak/>
        <w:t xml:space="preserve">a regular, recurrent basis. Data storage capacity must either meet the need of providing temperature data reports for years of </w:t>
      </w:r>
      <w:r w:rsidR="009B3AA1">
        <w:t>investigational</w:t>
      </w:r>
      <w:r w:rsidR="00FC5485">
        <w:t xml:space="preserve"> product storage conditions, or if there is limited data storage capacity of the electronic temperature data logger, then interval data reports should be created and stored either electronically or printed and saved</w:t>
      </w:r>
      <w:r w:rsidR="00FF3B71">
        <w:t>.</w:t>
      </w:r>
    </w:p>
    <w:p w14:paraId="2ED39E22" w14:textId="5E8AACB8" w:rsidR="00FF3B71" w:rsidRPr="00E87067" w:rsidRDefault="00FF3B71" w:rsidP="007528C7">
      <w:pPr>
        <w:pStyle w:val="Heading3b"/>
      </w:pPr>
      <w:r w:rsidRPr="00E87067">
        <w:t>Daily</w:t>
      </w:r>
      <w:r w:rsidR="00EB6F1E">
        <w:t xml:space="preserve"> </w:t>
      </w:r>
      <w:r w:rsidR="007C1A09">
        <w:t>Back-up</w:t>
      </w:r>
      <w:r w:rsidRPr="00E87067">
        <w:t xml:space="preserve"> </w:t>
      </w:r>
      <w:r w:rsidR="003643F2" w:rsidRPr="00E87067">
        <w:t xml:space="preserve">Manual </w:t>
      </w:r>
      <w:r w:rsidR="003643F2">
        <w:t>or</w:t>
      </w:r>
      <w:r w:rsidR="00A81206">
        <w:t xml:space="preserve"> Electronic </w:t>
      </w:r>
      <w:r w:rsidRPr="00E87067">
        <w:t>Temperature Monitoring and Daily Temperature Log</w:t>
      </w:r>
    </w:p>
    <w:p w14:paraId="07665B92" w14:textId="4DBDDB01" w:rsidR="00FF3B71" w:rsidRPr="00E87067" w:rsidRDefault="32F35C0C" w:rsidP="007528C7">
      <w:r>
        <w:t>A back-up temperature monitoring device (e.g., a minimum/maximum thermometer</w:t>
      </w:r>
      <w:r w:rsidR="003B2AC5">
        <w:t>)</w:t>
      </w:r>
      <w:r>
        <w:t xml:space="preserve">; see also USP &lt;1079&gt; Good Storage and Shipping Practices) is required for each </w:t>
      </w:r>
      <w:r w:rsidR="009B3AA1">
        <w:t>investigational</w:t>
      </w:r>
      <w:r>
        <w:t xml:space="preserve"> product storage area, serving as a back-up to the existing primary continuous temperature monitoring device. The temperature readings from the back-up monitoring device must be manually documented on a temperature log once daily each workday (preferably in the morning) </w:t>
      </w:r>
      <w:r w:rsidR="0083444A">
        <w:t xml:space="preserve">or electronically documented </w:t>
      </w:r>
      <w:r>
        <w:t xml:space="preserve">to verify that the temperature is within range. The daily </w:t>
      </w:r>
      <w:r w:rsidR="000549CC">
        <w:t>temperature</w:t>
      </w:r>
      <w:r>
        <w:t xml:space="preserve"> verification is also used to verify that the alarm systems </w:t>
      </w:r>
      <w:r w:rsidR="0017428A">
        <w:t>are</w:t>
      </w:r>
      <w:r>
        <w:t xml:space="preserve"> functioning properly, alerting the Research Pharmacist if the temperature was out of acceptable temperature range. The temperature monitoring log is to be reviewed </w:t>
      </w:r>
      <w:r w:rsidR="008E2FCA">
        <w:t xml:space="preserve">at least </w:t>
      </w:r>
      <w:r w:rsidR="00812577">
        <w:t xml:space="preserve">monthly </w:t>
      </w:r>
      <w:r>
        <w:t xml:space="preserve">to </w:t>
      </w:r>
      <w:r w:rsidR="00173589">
        <w:t>observe</w:t>
      </w:r>
      <w:r>
        <w:t xml:space="preserve"> trends that may indicate that equipment requires adjustment or service.</w:t>
      </w:r>
      <w:r w:rsidR="00494734">
        <w:t xml:space="preserve"> When </w:t>
      </w:r>
      <w:r w:rsidR="00685CE5">
        <w:t xml:space="preserve">the back-up temperature monitoring device is </w:t>
      </w:r>
      <w:r w:rsidR="00494734">
        <w:t xml:space="preserve">electronically documented, </w:t>
      </w:r>
      <w:r w:rsidR="00DC37E5">
        <w:t xml:space="preserve">a separate alarm notification </w:t>
      </w:r>
      <w:r w:rsidR="00380902">
        <w:t>must be in place to alert the Research Pharmacist if the temperature was out of acceptable temperature range.</w:t>
      </w:r>
      <w:r w:rsidR="003564FF">
        <w:t xml:space="preserve"> This electronic monitoring log</w:t>
      </w:r>
      <w:r w:rsidR="00E4768D">
        <w:t xml:space="preserve"> is to be reviewed at least monthly</w:t>
      </w:r>
      <w:r w:rsidR="008E2FCA">
        <w:t xml:space="preserve"> to observe trends that may indicate that equipment requires adjustment or service.</w:t>
      </w:r>
    </w:p>
    <w:p w14:paraId="7CD392A7" w14:textId="6A2E9550" w:rsidR="00FF3B71" w:rsidRDefault="32F35C0C" w:rsidP="007528C7">
      <w:r>
        <w:t>In the event of a temperature excursion, for the purposes of the evaluation of appropriate temperature storage, the temperature readings from the primary continuous temperature monitoring device will be used to make the final determination. The documented temperature readings from the back-up device will only be used to determine temperature storage conditions if the primary continuous temperature monitoring device fails or if its data is unavailable.</w:t>
      </w:r>
    </w:p>
    <w:p w14:paraId="11E184CF" w14:textId="77777777" w:rsidR="005E343E" w:rsidRDefault="00FF3B71" w:rsidP="007528C7">
      <w:pPr>
        <w:pStyle w:val="Heading3b"/>
      </w:pPr>
      <w:r w:rsidRPr="00E87067">
        <w:t>Temperature Deviations/Excursions Notification or Alarm System</w:t>
      </w:r>
    </w:p>
    <w:p w14:paraId="5BAE0DB9" w14:textId="5A1C0D97" w:rsidR="00FF3B71" w:rsidRPr="00E87067" w:rsidRDefault="7ADCEDA0" w:rsidP="002A3C7D">
      <w:r w:rsidDel="00100024">
        <w:t xml:space="preserve"> </w:t>
      </w:r>
      <w:r>
        <w:t>Every research pharmacy refrigerator, freezer, and room temperature</w:t>
      </w:r>
      <w:r w:rsidR="00FF3B71" w:rsidRPr="00E87067">
        <w:t xml:space="preserve"> area must have an alarm system to notify authorized personnel, 24 hours a day, 7 days a week, 365 days a year, of any temperature deviation/excursion from the acceptable temperature range, so that the Research Pharmacist may take immediate action, to prevent loss of </w:t>
      </w:r>
      <w:r w:rsidR="009B3AA1">
        <w:t>investigational</w:t>
      </w:r>
      <w:r w:rsidR="00FF3B71" w:rsidRPr="00E87067">
        <w:t xml:space="preserve"> product. Alarm settings within </w:t>
      </w:r>
      <w:r w:rsidR="00C87E05">
        <w:rPr>
          <w:rFonts w:cs="Times New Roman"/>
        </w:rPr>
        <w:t>±</w:t>
      </w:r>
      <w:r w:rsidR="00FF3B71" w:rsidRPr="00E87067">
        <w:t>0.5°C of the product storage temperature specifications are suggested to alert the Research Pharmacist of a potential excursion and to ensure that immediate corrective action can be taken prior to product exposure to temperatures outside of acceptable storage specifications</w:t>
      </w:r>
    </w:p>
    <w:p w14:paraId="3F515231" w14:textId="727ED71C" w:rsidR="00FF3B71" w:rsidRPr="00E87067" w:rsidRDefault="00FF3B71" w:rsidP="00C166FD">
      <w:pPr>
        <w:pStyle w:val="ListParagraph"/>
        <w:numPr>
          <w:ilvl w:val="0"/>
          <w:numId w:val="44"/>
        </w:numPr>
      </w:pPr>
      <w:r w:rsidRPr="00E87067">
        <w:t xml:space="preserve">Each site must have systems in place and SOPs defining responsibilities and procedures </w:t>
      </w:r>
      <w:r w:rsidR="005E343E">
        <w:t>to</w:t>
      </w:r>
      <w:r w:rsidRPr="00E87067">
        <w:t>:</w:t>
      </w:r>
    </w:p>
    <w:p w14:paraId="2DCAEF6E" w14:textId="37928DE3" w:rsidR="00FF3B71" w:rsidRPr="00E87067" w:rsidRDefault="005E343E" w:rsidP="00C166FD">
      <w:pPr>
        <w:pStyle w:val="ListParagraph2"/>
        <w:numPr>
          <w:ilvl w:val="0"/>
          <w:numId w:val="45"/>
        </w:numPr>
        <w:ind w:left="1080"/>
      </w:pPr>
      <w:r>
        <w:t>E</w:t>
      </w:r>
      <w:r w:rsidR="00FF3B71" w:rsidRPr="00E87067">
        <w:t>nsure proper storage conditions are continuously met</w:t>
      </w:r>
    </w:p>
    <w:p w14:paraId="5D500954" w14:textId="5B8D990D" w:rsidR="00FF3B71" w:rsidRPr="00E87067" w:rsidRDefault="005E343E" w:rsidP="00C166FD">
      <w:pPr>
        <w:pStyle w:val="ListParagraph2"/>
        <w:numPr>
          <w:ilvl w:val="0"/>
          <w:numId w:val="45"/>
        </w:numPr>
        <w:ind w:left="1080"/>
      </w:pPr>
      <w:r>
        <w:t>P</w:t>
      </w:r>
      <w:r w:rsidR="00FF3B71" w:rsidRPr="00E87067">
        <w:t>revent or limit storage conditions from being compromised during emergency situations, such as a power failure or equipment malfunction (e.</w:t>
      </w:r>
      <w:r w:rsidR="002B25D0">
        <w:t>g.</w:t>
      </w:r>
      <w:r w:rsidR="00FF3B71" w:rsidRPr="00E87067">
        <w:t xml:space="preserve"> back-up power source and/or alternative storage arrangements)</w:t>
      </w:r>
    </w:p>
    <w:p w14:paraId="6282C876" w14:textId="76BE62B2" w:rsidR="00FF3B71" w:rsidRDefault="005E343E" w:rsidP="00C166FD">
      <w:pPr>
        <w:pStyle w:val="ListParagraph2"/>
        <w:numPr>
          <w:ilvl w:val="0"/>
          <w:numId w:val="45"/>
        </w:numPr>
        <w:ind w:left="1080"/>
      </w:pPr>
      <w:r>
        <w:t>A</w:t>
      </w:r>
      <w:r w:rsidR="00FF3B71" w:rsidRPr="00E87067">
        <w:t>lert staff when temperature excursions have occurred and take corrective action</w:t>
      </w:r>
    </w:p>
    <w:p w14:paraId="796B9C00" w14:textId="77777777" w:rsidR="00C07960" w:rsidRDefault="00C07960" w:rsidP="007528C7">
      <w:pPr>
        <w:pStyle w:val="ListParagraph2"/>
        <w:numPr>
          <w:ilvl w:val="0"/>
          <w:numId w:val="0"/>
        </w:numPr>
        <w:ind w:left="1080"/>
      </w:pPr>
    </w:p>
    <w:p w14:paraId="6B136F3E" w14:textId="77777777" w:rsidR="0017428A" w:rsidRPr="00E87067" w:rsidRDefault="0017428A" w:rsidP="007528C7">
      <w:pPr>
        <w:pStyle w:val="ListParagraph2"/>
        <w:numPr>
          <w:ilvl w:val="0"/>
          <w:numId w:val="0"/>
        </w:numPr>
        <w:ind w:left="1080"/>
      </w:pPr>
    </w:p>
    <w:p w14:paraId="4E5134C0" w14:textId="77777777" w:rsidR="00FF3B71" w:rsidRPr="00E87067" w:rsidRDefault="00FF3B71" w:rsidP="007528C7">
      <w:pPr>
        <w:pStyle w:val="Heading3b"/>
      </w:pPr>
      <w:r w:rsidRPr="00E87067">
        <w:lastRenderedPageBreak/>
        <w:t>Temperature Deviations/Excursions Reporting and Quarantine</w:t>
      </w:r>
    </w:p>
    <w:p w14:paraId="295B11D1" w14:textId="31B24335" w:rsidR="00FF3B71" w:rsidRPr="00E87067" w:rsidRDefault="5A5A304F" w:rsidP="007528C7">
      <w:pPr>
        <w:pStyle w:val="BodyTextIndent3"/>
        <w:ind w:left="0"/>
      </w:pPr>
      <w:r>
        <w:t xml:space="preserve">The Research Pharmacist is responsible for ensuring that the investigational product is maintained at the protocol-specified, long-term temperature storage </w:t>
      </w:r>
      <w:r w:rsidR="2801DFAB">
        <w:t>range to preserve the integrity, stability, and effectiveness of the investigational product(s) for each protocol (See Storage and Tem</w:t>
      </w:r>
      <w:r w:rsidR="0B55730E">
        <w:t>perature Monitoring Section). A temperature deviation/excursion indica</w:t>
      </w:r>
      <w:r w:rsidR="62B50F6C">
        <w:t xml:space="preserve">tes a temperature reading that is outside of the specified long term temperature storage range. </w:t>
      </w:r>
    </w:p>
    <w:p w14:paraId="2D8F9F97" w14:textId="0F649418" w:rsidR="00FF3B71" w:rsidRPr="00E87067" w:rsidRDefault="48011E50" w:rsidP="007528C7">
      <w:pPr>
        <w:pStyle w:val="BodyTextIndent3"/>
        <w:ind w:left="0"/>
      </w:pPr>
      <w:r>
        <w:t>The continuous temperature monitoring device is designated as the primary device to determine whether a temperature excursion has occurred. If during review of the manual temperatures, an excursion is noted, the data from the primary device prevails. If the primary device does not indicate an excursion, temperature excursion does not need to be reported to the PST. The Re</w:t>
      </w:r>
      <w:r w:rsidR="28AA6F2A">
        <w:t>se</w:t>
      </w:r>
      <w:r>
        <w:t>arch Pharmacist should make every effort to investigate why there may be a discrepancy (e.g., check for</w:t>
      </w:r>
      <w:r w:rsidR="3010248E">
        <w:t xml:space="preserve"> </w:t>
      </w:r>
      <w:r>
        <w:t>recalibration and maintenance of device, power source, placement of</w:t>
      </w:r>
      <w:r w:rsidR="0A769E15">
        <w:t xml:space="preserve"> </w:t>
      </w:r>
      <w:r>
        <w:t>probe, etc.).</w:t>
      </w:r>
    </w:p>
    <w:p w14:paraId="676EC215" w14:textId="79F938B3" w:rsidR="00FF3B71" w:rsidRPr="00E87067" w:rsidRDefault="00FF3B71" w:rsidP="007528C7">
      <w:pPr>
        <w:pStyle w:val="ListParagraph"/>
      </w:pPr>
      <w:r w:rsidRPr="00E87067">
        <w:t>I</w:t>
      </w:r>
      <w:r w:rsidR="00592402">
        <w:t>n the event</w:t>
      </w:r>
      <w:r w:rsidR="0524CC9F">
        <w:t>, a non-permitted temperature excursion</w:t>
      </w:r>
      <w:r>
        <w:t xml:space="preserve"> </w:t>
      </w:r>
      <w:r w:rsidR="4B979892">
        <w:t>occurs</w:t>
      </w:r>
      <w:r w:rsidRPr="00E87067">
        <w:t xml:space="preserve"> (e.</w:t>
      </w:r>
      <w:r w:rsidR="002B25D0">
        <w:t>g.</w:t>
      </w:r>
      <w:r w:rsidRPr="00E87067">
        <w:t xml:space="preserve">, temperature deviates from the allowable range) or if there is any suspicion that </w:t>
      </w:r>
      <w:r w:rsidR="009B3AA1">
        <w:t>investigational</w:t>
      </w:r>
      <w:r>
        <w:t xml:space="preserve"> product(s) have not been stored </w:t>
      </w:r>
      <w:r w:rsidR="00C94766">
        <w:t>properly. The</w:t>
      </w:r>
      <w:r w:rsidR="537F9A20">
        <w:t xml:space="preserve"> investigational product sh</w:t>
      </w:r>
      <w:r w:rsidR="75E0AB97">
        <w:t xml:space="preserve">ould </w:t>
      </w:r>
      <w:r w:rsidR="537F9A20">
        <w:t>be immediately qu</w:t>
      </w:r>
      <w:r w:rsidR="3F78828F">
        <w:t>arantined at the appropriate storage temperature, and the occurrence reported directly to the PST</w:t>
      </w:r>
      <w:r w:rsidR="51A0141F">
        <w:t xml:space="preserve">, using the </w:t>
      </w:r>
      <w:r w:rsidR="51A0141F" w:rsidRPr="6ABCC204">
        <w:rPr>
          <w:i/>
          <w:iCs/>
        </w:rPr>
        <w:t>DMID PST Temperature Excursion Reporting Form</w:t>
      </w:r>
      <w:r w:rsidR="21CCDC80" w:rsidRPr="6ABCC204">
        <w:rPr>
          <w:i/>
          <w:iCs/>
        </w:rPr>
        <w:t xml:space="preserve">. </w:t>
      </w:r>
      <w:r w:rsidR="2B003924" w:rsidRPr="6ABCC204">
        <w:t xml:space="preserve">The PST will </w:t>
      </w:r>
      <w:r w:rsidR="5789610B" w:rsidRPr="6ABCC204">
        <w:t xml:space="preserve">review the reported temperature excursion and communicate investigational product suitability to the </w:t>
      </w:r>
      <w:r w:rsidR="27425753" w:rsidRPr="6ABCC204">
        <w:t xml:space="preserve">Research Pharmacist. </w:t>
      </w:r>
      <w:r w:rsidR="21CCDC80" w:rsidRPr="6ABCC204">
        <w:t>The Research Pharmacist should await final disposition instructions from the Clinical Project Manager (CPM)</w:t>
      </w:r>
      <w:r w:rsidR="2BC89A6C" w:rsidRPr="6ABCC204">
        <w:t>.</w:t>
      </w:r>
      <w:r>
        <w:t xml:space="preserve"> </w:t>
      </w:r>
      <w:r w:rsidRPr="00E87067">
        <w:t>Refer to the protocol and MOP for storage instructions and notifications</w:t>
      </w:r>
      <w:r w:rsidR="00100024">
        <w:t>.</w:t>
      </w:r>
    </w:p>
    <w:p w14:paraId="49BD6243" w14:textId="7B4DDB20" w:rsidR="00FF3B71" w:rsidRPr="00E87067" w:rsidRDefault="00390B5D" w:rsidP="007528C7">
      <w:pPr>
        <w:pStyle w:val="Heading3b"/>
      </w:pPr>
      <w:r>
        <w:rPr>
          <w:color w:val="000000" w:themeColor="text1"/>
        </w:rPr>
        <w:fldChar w:fldCharType="begin"/>
      </w:r>
      <w:r>
        <w:instrText xml:space="preserve"> REF _Ref207332759 \r \h </w:instrText>
      </w:r>
      <w:r w:rsidR="0086261D">
        <w:rPr>
          <w:color w:val="000000" w:themeColor="text1"/>
        </w:rPr>
        <w:instrText xml:space="preserve"> \* MERGEFORMAT </w:instrText>
      </w:r>
      <w:r>
        <w:rPr>
          <w:color w:val="000000" w:themeColor="text1"/>
        </w:rPr>
      </w:r>
      <w:r>
        <w:rPr>
          <w:color w:val="000000" w:themeColor="text1"/>
        </w:rPr>
        <w:fldChar w:fldCharType="separate"/>
      </w:r>
      <w:r>
        <w:rPr>
          <w:color w:val="000000" w:themeColor="text1"/>
        </w:rPr>
        <w:fldChar w:fldCharType="end"/>
      </w:r>
      <w:r w:rsidR="00AE1405">
        <w:rPr>
          <w:color w:val="000000" w:themeColor="text1"/>
        </w:rPr>
        <w:fldChar w:fldCharType="begin"/>
      </w:r>
      <w:r w:rsidR="00AE1405">
        <w:instrText xml:space="preserve"> REF _Ref207333107 \r \h </w:instrText>
      </w:r>
      <w:r w:rsidR="0086261D">
        <w:rPr>
          <w:color w:val="000000" w:themeColor="text1"/>
        </w:rPr>
        <w:instrText xml:space="preserve"> \* MERGEFORMAT </w:instrText>
      </w:r>
      <w:r w:rsidR="00AE1405">
        <w:rPr>
          <w:color w:val="000000" w:themeColor="text1"/>
        </w:rPr>
      </w:r>
      <w:r w:rsidR="00AE1405">
        <w:rPr>
          <w:color w:val="000000" w:themeColor="text1"/>
        </w:rPr>
        <w:fldChar w:fldCharType="separate"/>
      </w:r>
      <w:r w:rsidR="00AE1405">
        <w:rPr>
          <w:color w:val="000000" w:themeColor="text1"/>
        </w:rPr>
        <w:fldChar w:fldCharType="end"/>
      </w:r>
      <w:r w:rsidR="00FF3B71" w:rsidRPr="00E87067">
        <w:t xml:space="preserve">Controlled Room Temperature </w:t>
      </w:r>
      <w:r w:rsidR="6A3802E4">
        <w:t>Permitted and Non-Permitted Excursions</w:t>
      </w:r>
    </w:p>
    <w:p w14:paraId="3C4713F0" w14:textId="51870B6F" w:rsidR="779A9704" w:rsidRDefault="779A9704" w:rsidP="6ABCC204">
      <w:pPr>
        <w:spacing w:before="240" w:after="240"/>
      </w:pPr>
      <w:r w:rsidRPr="6ABCC204">
        <w:t xml:space="preserve">If the </w:t>
      </w:r>
      <w:r w:rsidR="009B3AA1">
        <w:t>investigational</w:t>
      </w:r>
      <w:r w:rsidRPr="6ABCC204">
        <w:t xml:space="preserve"> protocol states “store between 20°C and 25°C, with excursions permitted within 15°C and 30°C (59°F and 86°F)”, temperature excursions occurring </w:t>
      </w:r>
      <w:r w:rsidRPr="00FE34F3">
        <w:rPr>
          <w:b/>
          <w:bCs/>
        </w:rPr>
        <w:t xml:space="preserve">below </w:t>
      </w:r>
      <w:r w:rsidRPr="6ABCC204">
        <w:t xml:space="preserve">15°C or </w:t>
      </w:r>
      <w:r w:rsidRPr="00FE34F3">
        <w:rPr>
          <w:b/>
          <w:bCs/>
        </w:rPr>
        <w:t xml:space="preserve">above </w:t>
      </w:r>
      <w:r w:rsidRPr="6ABCC204">
        <w:t xml:space="preserve">30°C must be reported to the PST as non-permitted excursions. </w:t>
      </w:r>
    </w:p>
    <w:p w14:paraId="12E47B87" w14:textId="57184EE3" w:rsidR="779A9704" w:rsidRDefault="779A9704" w:rsidP="6ABCC204">
      <w:pPr>
        <w:spacing w:before="240" w:after="240"/>
      </w:pPr>
      <w:r w:rsidRPr="6ABCC204">
        <w:t xml:space="preserve">If the </w:t>
      </w:r>
      <w:r w:rsidR="009B3AA1">
        <w:t>investigational</w:t>
      </w:r>
      <w:r w:rsidRPr="6ABCC204">
        <w:t xml:space="preserve"> protocol states store “at 25°C, with excursions permitted within 15°C and 30°C (59°F and 86°F) [See USP Controlled Room Temperature]” or similar language referencing USP Controlled Room Temperature, the </w:t>
      </w:r>
      <w:r w:rsidR="009B3AA1">
        <w:t>investigational</w:t>
      </w:r>
      <w:r w:rsidRPr="6ABCC204">
        <w:t xml:space="preserve"> product may be stored between 20°C and 25°C, with excursions permitted within15°C and 30°C (59°F and 86°F). Temperature excursions occurring</w:t>
      </w:r>
      <w:r w:rsidR="6844ED04" w:rsidRPr="6ABCC204">
        <w:t xml:space="preserve"> </w:t>
      </w:r>
      <w:r w:rsidRPr="00FE34F3">
        <w:rPr>
          <w:b/>
          <w:bCs/>
        </w:rPr>
        <w:t xml:space="preserve">below </w:t>
      </w:r>
      <w:r w:rsidRPr="6ABCC204">
        <w:t xml:space="preserve">15°C or </w:t>
      </w:r>
      <w:r w:rsidRPr="00FE34F3">
        <w:rPr>
          <w:b/>
          <w:bCs/>
        </w:rPr>
        <w:t>above</w:t>
      </w:r>
      <w:r w:rsidRPr="6ABCC204">
        <w:t xml:space="preserve"> 30°C must be reported to the </w:t>
      </w:r>
      <w:r w:rsidR="528A1118" w:rsidRPr="6ABCC204">
        <w:t>PST</w:t>
      </w:r>
      <w:r w:rsidRPr="6ABCC204">
        <w:t xml:space="preserve"> as</w:t>
      </w:r>
      <w:r w:rsidR="51C03BA4" w:rsidRPr="6ABCC204">
        <w:t xml:space="preserve"> </w:t>
      </w:r>
      <w:r w:rsidRPr="6ABCC204">
        <w:t xml:space="preserve">non-permitted excursions. </w:t>
      </w:r>
    </w:p>
    <w:p w14:paraId="3D544648" w14:textId="5E6E73E2" w:rsidR="779A9704" w:rsidRDefault="779A9704" w:rsidP="6ABCC204">
      <w:pPr>
        <w:spacing w:before="240" w:after="240"/>
      </w:pPr>
      <w:r>
        <w:t>Any controlled room temperature excursion that occurs within the</w:t>
      </w:r>
      <w:r w:rsidR="17928590">
        <w:t xml:space="preserve"> </w:t>
      </w:r>
      <w:r w:rsidR="009B3AA1">
        <w:t>investigational</w:t>
      </w:r>
      <w:r>
        <w:t xml:space="preserve"> protocol-specified, permitted temperature excursion window</w:t>
      </w:r>
      <w:r w:rsidR="220F6CE6">
        <w:t xml:space="preserve"> </w:t>
      </w:r>
      <w:r>
        <w:t>of 15°C and 30°C (59°F and 86°F), must be reported as</w:t>
      </w:r>
      <w:r w:rsidR="7BCFEA21">
        <w:t xml:space="preserve"> </w:t>
      </w:r>
      <w:r>
        <w:t xml:space="preserve">a permitted excursion to the </w:t>
      </w:r>
      <w:r w:rsidR="2BEE9274">
        <w:t>PST</w:t>
      </w:r>
      <w:r>
        <w:t xml:space="preserve"> using the </w:t>
      </w:r>
      <w:r w:rsidR="52579D38" w:rsidRPr="672A4366">
        <w:rPr>
          <w:i/>
          <w:iCs/>
        </w:rPr>
        <w:t>DMID PST Temperature Excursion Reporting Form</w:t>
      </w:r>
      <w:r>
        <w:t>, however, the</w:t>
      </w:r>
      <w:r w:rsidR="21999F15">
        <w:t xml:space="preserve"> </w:t>
      </w:r>
      <w:r w:rsidR="1A8FD9D8">
        <w:t>investigational</w:t>
      </w:r>
      <w:r>
        <w:t xml:space="preserve"> product may remain in active inventory and dispensed to</w:t>
      </w:r>
      <w:r w:rsidR="369E3926">
        <w:t xml:space="preserve"> </w:t>
      </w:r>
      <w:r>
        <w:t xml:space="preserve"> participants. Reporting of these permitted excursions </w:t>
      </w:r>
      <w:r w:rsidR="00C1002A">
        <w:t>must</w:t>
      </w:r>
      <w:r w:rsidR="1FBE8F07">
        <w:t xml:space="preserve"> </w:t>
      </w:r>
      <w:r>
        <w:t>occur upon identification</w:t>
      </w:r>
      <w:r w:rsidR="7891DD68">
        <w:t>.</w:t>
      </w:r>
    </w:p>
    <w:p w14:paraId="1F8B7E79" w14:textId="77777777" w:rsidR="0017428A" w:rsidRDefault="779A9704" w:rsidP="00123861">
      <w:pPr>
        <w:spacing w:before="240" w:after="240"/>
      </w:pPr>
      <w:r w:rsidRPr="6ABCC204">
        <w:t>Note: Protocol-specified, permitted controlled room temperature</w:t>
      </w:r>
      <w:r w:rsidR="21A09368" w:rsidRPr="6ABCC204">
        <w:t xml:space="preserve"> </w:t>
      </w:r>
      <w:r w:rsidRPr="6ABCC204">
        <w:t xml:space="preserve">excursions facilitate continued use of </w:t>
      </w:r>
      <w:r w:rsidR="009B3AA1">
        <w:t>investigational</w:t>
      </w:r>
      <w:r w:rsidRPr="6ABCC204">
        <w:t xml:space="preserve"> products; however, they</w:t>
      </w:r>
      <w:r w:rsidR="0F5562F0" w:rsidRPr="6ABCC204">
        <w:t xml:space="preserve"> </w:t>
      </w:r>
      <w:r w:rsidRPr="6ABCC204">
        <w:t>are still excursions outside of the long-term storage temperature</w:t>
      </w:r>
      <w:r w:rsidR="5CD1DB35" w:rsidRPr="6ABCC204">
        <w:t xml:space="preserve"> </w:t>
      </w:r>
      <w:r w:rsidRPr="6ABCC204">
        <w:t>range and must be reported to the Sponsor.</w:t>
      </w:r>
    </w:p>
    <w:p w14:paraId="016F811B" w14:textId="2E521F67" w:rsidR="00FF3B71" w:rsidRDefault="00331491" w:rsidP="00123861">
      <w:pPr>
        <w:spacing w:before="240" w:after="240"/>
      </w:pPr>
      <w:r>
        <w:fldChar w:fldCharType="begin"/>
      </w:r>
      <w:r>
        <w:instrText xml:space="preserve"> REF _Ref206571820 \h </w:instrText>
      </w:r>
      <w:r>
        <w:fldChar w:fldCharType="separate"/>
      </w:r>
      <w:r>
        <w:fldChar w:fldCharType="end"/>
      </w:r>
      <w:r>
        <w:fldChar w:fldCharType="begin"/>
      </w:r>
      <w:r>
        <w:instrText xml:space="preserve"> REF _Ref207333107 \r \h </w:instrText>
      </w:r>
      <w:r>
        <w:fldChar w:fldCharType="separate"/>
      </w:r>
      <w:r>
        <w:fldChar w:fldCharType="end"/>
      </w:r>
    </w:p>
    <w:p w14:paraId="2DB89757" w14:textId="77777777" w:rsidR="00FF3B71" w:rsidRPr="00E87067" w:rsidRDefault="00FF3B71" w:rsidP="007528C7">
      <w:pPr>
        <w:pStyle w:val="Heading3b"/>
      </w:pPr>
      <w:bookmarkStart w:id="120" w:name="_Toc22044478"/>
      <w:bookmarkStart w:id="121" w:name="_Toc22044562"/>
      <w:bookmarkStart w:id="122" w:name="_Toc25150806"/>
      <w:bookmarkStart w:id="123" w:name="_Toc25151412"/>
      <w:bookmarkStart w:id="124" w:name="4.3_Storage_Equipment"/>
      <w:bookmarkStart w:id="125" w:name="_Toc25151413"/>
      <w:bookmarkEnd w:id="120"/>
      <w:bookmarkEnd w:id="121"/>
      <w:bookmarkEnd w:id="122"/>
      <w:bookmarkEnd w:id="123"/>
      <w:bookmarkEnd w:id="124"/>
      <w:r w:rsidRPr="00E87067">
        <w:lastRenderedPageBreak/>
        <w:t>Storage Equipment</w:t>
      </w:r>
      <w:bookmarkEnd w:id="125"/>
    </w:p>
    <w:p w14:paraId="1D92B6BB" w14:textId="5D3D1727" w:rsidR="00FF3B71" w:rsidRPr="00E87067" w:rsidRDefault="00FF3B71" w:rsidP="00C166FD">
      <w:pPr>
        <w:pStyle w:val="ListParagraph"/>
        <w:numPr>
          <w:ilvl w:val="0"/>
          <w:numId w:val="47"/>
        </w:numPr>
      </w:pPr>
      <w:r w:rsidRPr="00E87067">
        <w:t xml:space="preserve">Appropriate storage equipment must </w:t>
      </w:r>
      <w:r w:rsidR="006136AC" w:rsidRPr="006136AC">
        <w:t xml:space="preserve">meet all storage, security, access, and monitoring guidelines as stated in this manual </w:t>
      </w:r>
      <w:r w:rsidR="008C4574">
        <w:t xml:space="preserve">and must </w:t>
      </w:r>
      <w:r w:rsidRPr="00E87067">
        <w:t xml:space="preserve">be used, as applicable, </w:t>
      </w:r>
      <w:r w:rsidR="00426A59" w:rsidRPr="00E87067">
        <w:t>to</w:t>
      </w:r>
      <w:r w:rsidRPr="00E87067">
        <w:t xml:space="preserve"> maintain the necessary environmental storage conditions for </w:t>
      </w:r>
      <w:r w:rsidR="009B3AA1">
        <w:t>investigational</w:t>
      </w:r>
      <w:r w:rsidRPr="00E87067">
        <w:t xml:space="preserve"> products as required per the protocol or manufacturer’s instructions. Examples of storage equipment that may be needed include:</w:t>
      </w:r>
    </w:p>
    <w:p w14:paraId="2078E5E9" w14:textId="1C11451C" w:rsidR="00FF3B71" w:rsidRPr="00E87067" w:rsidRDefault="00FF3B71" w:rsidP="00C166FD">
      <w:pPr>
        <w:pStyle w:val="ListParagraph2"/>
        <w:numPr>
          <w:ilvl w:val="0"/>
          <w:numId w:val="48"/>
        </w:numPr>
        <w:ind w:left="1080"/>
      </w:pPr>
      <w:r w:rsidRPr="002569D0">
        <w:rPr>
          <w:b/>
          <w:bCs/>
        </w:rPr>
        <w:t>Refrigerators</w:t>
      </w:r>
      <w:r w:rsidR="00F96480">
        <w:t xml:space="preserve"> (</w:t>
      </w:r>
      <w:r w:rsidR="00F96480" w:rsidRPr="00F96480">
        <w:t>The DMID does not recommend the use of household refrigerators and freezers since the temperature control may be variable</w:t>
      </w:r>
      <w:r w:rsidR="00F96480">
        <w:t xml:space="preserve">. Instead, </w:t>
      </w:r>
      <w:r w:rsidR="00BE2315">
        <w:t>scientific</w:t>
      </w:r>
      <w:r w:rsidR="00F96480">
        <w:t xml:space="preserve"> </w:t>
      </w:r>
      <w:r w:rsidR="00BE2315">
        <w:t xml:space="preserve">grade </w:t>
      </w:r>
      <w:r w:rsidR="00F96480">
        <w:t>refrigerators are recommended)</w:t>
      </w:r>
    </w:p>
    <w:p w14:paraId="5918DFCA" w14:textId="5644B03E" w:rsidR="00FF3B71" w:rsidRPr="00E87067" w:rsidRDefault="00CB61AB" w:rsidP="00C166FD">
      <w:pPr>
        <w:pStyle w:val="ListParagraph2"/>
        <w:numPr>
          <w:ilvl w:val="0"/>
          <w:numId w:val="48"/>
        </w:numPr>
        <w:ind w:left="1080"/>
      </w:pPr>
      <w:r>
        <w:rPr>
          <w:b/>
          <w:bCs/>
        </w:rPr>
        <w:t>F</w:t>
      </w:r>
      <w:r w:rsidR="00FF3B71" w:rsidRPr="002569D0">
        <w:rPr>
          <w:b/>
          <w:bCs/>
        </w:rPr>
        <w:t>reezers</w:t>
      </w:r>
      <w:r w:rsidR="0013120B">
        <w:t xml:space="preserve"> (</w:t>
      </w:r>
      <w:r w:rsidR="0013120B" w:rsidRPr="0013120B">
        <w:t>The DMID does not recommend the use of self-defrosting or auto</w:t>
      </w:r>
      <w:r w:rsidR="00344A2B">
        <w:t xml:space="preserve"> </w:t>
      </w:r>
      <w:r w:rsidR="0013120B" w:rsidRPr="0013120B">
        <w:t>defrosting freezers since the temperature may cycle on a routine basis</w:t>
      </w:r>
      <w:r w:rsidR="00344A2B">
        <w:t>. Instead</w:t>
      </w:r>
      <w:r w:rsidR="00BE2315">
        <w:t>,</w:t>
      </w:r>
      <w:r w:rsidR="00344A2B">
        <w:t xml:space="preserve"> </w:t>
      </w:r>
      <w:r w:rsidR="009A6F22" w:rsidRPr="009A6F22">
        <w:t xml:space="preserve">scientific grade </w:t>
      </w:r>
      <w:r w:rsidR="009A6F22">
        <w:t>freeze</w:t>
      </w:r>
      <w:r w:rsidR="009A6F22" w:rsidRPr="009A6F22">
        <w:t>rs are recommended)</w:t>
      </w:r>
    </w:p>
    <w:p w14:paraId="168D17ED" w14:textId="77777777" w:rsidR="00FF3B71" w:rsidRPr="002569D0" w:rsidRDefault="00FF3B71" w:rsidP="00C166FD">
      <w:pPr>
        <w:pStyle w:val="ListParagraph2"/>
        <w:numPr>
          <w:ilvl w:val="0"/>
          <w:numId w:val="48"/>
        </w:numPr>
        <w:ind w:left="1080"/>
        <w:rPr>
          <w:b/>
          <w:bCs/>
        </w:rPr>
      </w:pPr>
      <w:r w:rsidRPr="002569D0">
        <w:rPr>
          <w:b/>
          <w:bCs/>
        </w:rPr>
        <w:t>Temperature monitoring and recording devices</w:t>
      </w:r>
    </w:p>
    <w:p w14:paraId="3DDBA442" w14:textId="0C1E995D" w:rsidR="00FF3B71" w:rsidRPr="002569D0" w:rsidRDefault="00FF3B71" w:rsidP="00C166FD">
      <w:pPr>
        <w:pStyle w:val="ListParagraph2"/>
        <w:numPr>
          <w:ilvl w:val="0"/>
          <w:numId w:val="48"/>
        </w:numPr>
        <w:ind w:left="1080"/>
        <w:rPr>
          <w:b/>
          <w:bCs/>
        </w:rPr>
      </w:pPr>
      <w:r w:rsidRPr="002569D0">
        <w:rPr>
          <w:b/>
          <w:bCs/>
        </w:rPr>
        <w:t>Temperature alarm systems</w:t>
      </w:r>
    </w:p>
    <w:p w14:paraId="2E39448E" w14:textId="452A083B" w:rsidR="00FF3B71" w:rsidRPr="002569D0" w:rsidRDefault="00A8145A" w:rsidP="00C166FD">
      <w:pPr>
        <w:pStyle w:val="ListParagraph2"/>
        <w:numPr>
          <w:ilvl w:val="0"/>
          <w:numId w:val="48"/>
        </w:numPr>
        <w:ind w:left="1080"/>
        <w:rPr>
          <w:b/>
          <w:bCs/>
        </w:rPr>
      </w:pPr>
      <w:r w:rsidRPr="002569D0">
        <w:rPr>
          <w:b/>
          <w:bCs/>
        </w:rPr>
        <w:t>Heating and air</w:t>
      </w:r>
      <w:r w:rsidR="00FF3B71" w:rsidRPr="002569D0">
        <w:rPr>
          <w:b/>
          <w:bCs/>
        </w:rPr>
        <w:t xml:space="preserve"> conditioning units</w:t>
      </w:r>
    </w:p>
    <w:p w14:paraId="6607C77C" w14:textId="0CEE29F4" w:rsidR="00FF3B71" w:rsidRPr="002569D0" w:rsidRDefault="00FF3B71" w:rsidP="00C166FD">
      <w:pPr>
        <w:pStyle w:val="ListParagraph2"/>
        <w:numPr>
          <w:ilvl w:val="0"/>
          <w:numId w:val="48"/>
        </w:numPr>
        <w:ind w:left="1080"/>
        <w:rPr>
          <w:b/>
          <w:bCs/>
        </w:rPr>
      </w:pPr>
      <w:r w:rsidRPr="002569D0">
        <w:rPr>
          <w:b/>
          <w:bCs/>
        </w:rPr>
        <w:t xml:space="preserve">Back-up power </w:t>
      </w:r>
      <w:r w:rsidR="03079D24" w:rsidRPr="002569D0">
        <w:rPr>
          <w:b/>
          <w:bCs/>
        </w:rPr>
        <w:t xml:space="preserve">supply or </w:t>
      </w:r>
      <w:r w:rsidRPr="002569D0">
        <w:rPr>
          <w:b/>
          <w:bCs/>
        </w:rPr>
        <w:t>generator</w:t>
      </w:r>
    </w:p>
    <w:p w14:paraId="537CE053" w14:textId="77777777" w:rsidR="00FF3B71" w:rsidRPr="002569D0" w:rsidRDefault="00FF3B71" w:rsidP="00C166FD">
      <w:pPr>
        <w:pStyle w:val="ListParagraph2"/>
        <w:numPr>
          <w:ilvl w:val="0"/>
          <w:numId w:val="48"/>
        </w:numPr>
        <w:ind w:left="1080"/>
        <w:rPr>
          <w:b/>
          <w:bCs/>
        </w:rPr>
      </w:pPr>
      <w:r w:rsidRPr="002569D0">
        <w:rPr>
          <w:b/>
          <w:bCs/>
        </w:rPr>
        <w:t>Back-up temperature systems to maintain specified environmental conditions</w:t>
      </w:r>
    </w:p>
    <w:p w14:paraId="46E65AB4" w14:textId="15C405A3" w:rsidR="00E84B94" w:rsidRDefault="00342AB4" w:rsidP="007528C7">
      <w:pPr>
        <w:pStyle w:val="Heading3b"/>
      </w:pPr>
      <w:bookmarkStart w:id="126" w:name="_Toc22044480"/>
      <w:bookmarkStart w:id="127" w:name="_Toc22044564"/>
      <w:bookmarkStart w:id="128" w:name="_Toc25150808"/>
      <w:bookmarkStart w:id="129" w:name="_Toc25151414"/>
      <w:bookmarkStart w:id="130" w:name="4.4_Quarantine_of_Study_Products"/>
      <w:bookmarkStart w:id="131" w:name="_Toc25151415"/>
      <w:bookmarkEnd w:id="126"/>
      <w:bookmarkEnd w:id="127"/>
      <w:bookmarkEnd w:id="128"/>
      <w:bookmarkEnd w:id="129"/>
      <w:bookmarkEnd w:id="130"/>
      <w:r>
        <w:t>Maintenance of Equipment</w:t>
      </w:r>
    </w:p>
    <w:p w14:paraId="68BAFBDD" w14:textId="6A462A66" w:rsidR="00342AB4" w:rsidRPr="0063623A" w:rsidRDefault="006E1ADF" w:rsidP="007528C7">
      <w:pPr>
        <w:pStyle w:val="BodyText"/>
      </w:pPr>
      <w:r w:rsidRPr="0063623A">
        <w:t>Storage equipment must be maintained in a clean and sanitary condition, in good working order and capable of maintaining the appropriate temperatures. Each storage equipment must be calibrated</w:t>
      </w:r>
      <w:r w:rsidR="002F0614" w:rsidRPr="0063623A">
        <w:t>,</w:t>
      </w:r>
      <w:r w:rsidRPr="0063623A">
        <w:t xml:space="preserve"> according to the manufacturer’s specifications for optimal quality and use; maintenance and calibration must be documented. Maintenance and calibration records for all pharmacy equipment should be retained in the pharmacy and/or immediately available upon request.</w:t>
      </w:r>
    </w:p>
    <w:p w14:paraId="08300B36" w14:textId="65D6D495" w:rsidR="00EB1D32" w:rsidRDefault="00EB1D32" w:rsidP="007528C7">
      <w:pPr>
        <w:pStyle w:val="Heading3b"/>
      </w:pPr>
      <w:r>
        <w:t>Back</w:t>
      </w:r>
      <w:r w:rsidR="00582B35">
        <w:t>-Up Power Supply/Generator</w:t>
      </w:r>
    </w:p>
    <w:p w14:paraId="48C99345" w14:textId="448B2661" w:rsidR="00D95750" w:rsidRDefault="00582B35" w:rsidP="00A035F1">
      <w:pPr>
        <w:pStyle w:val="BodyText"/>
        <w:rPr>
          <w:b/>
          <w:bCs/>
        </w:rPr>
      </w:pPr>
      <w:r>
        <w:t>All equipment supporting pharmacy operations must be supported by a back-up power source (e.g., back-up battery power source or generator).  Unless otherwise specified by manufacturer specifications or per individual institution policy, the back-up power supply should be tested quarterly and should receive maintenance at least annually. Documentation of testing and maintenance should also be recorded and maintained. Ideally, back generators should have sufficient capability to run continuously for the duration of the longest possible blackout</w:t>
      </w:r>
      <w:r w:rsidR="39BA2F6E">
        <w:t>.</w:t>
      </w:r>
      <w:r>
        <w:t xml:space="preserve"> </w:t>
      </w:r>
    </w:p>
    <w:p w14:paraId="4C264F0E" w14:textId="2EBF70A3" w:rsidR="00FF3B71" w:rsidRPr="00E87067" w:rsidRDefault="00FF3B71" w:rsidP="007528C7">
      <w:pPr>
        <w:pStyle w:val="Heading3b"/>
      </w:pPr>
      <w:bookmarkStart w:id="132" w:name="_Ref207332579"/>
      <w:bookmarkStart w:id="133" w:name="_Ref207332759"/>
      <w:r w:rsidRPr="00E87067">
        <w:t xml:space="preserve">Quarantine of </w:t>
      </w:r>
      <w:r w:rsidR="009B3AA1">
        <w:t>Investigational</w:t>
      </w:r>
      <w:r w:rsidRPr="00E87067">
        <w:t xml:space="preserve"> Products</w:t>
      </w:r>
      <w:bookmarkEnd w:id="131"/>
      <w:bookmarkEnd w:id="132"/>
      <w:bookmarkEnd w:id="133"/>
    </w:p>
    <w:p w14:paraId="74B3AE50" w14:textId="596BDFD2" w:rsidR="00FF3B71" w:rsidRPr="00E87067" w:rsidRDefault="009B3AA1" w:rsidP="003B4C6E">
      <w:pPr>
        <w:pStyle w:val="ListParagraph"/>
        <w:numPr>
          <w:ilvl w:val="0"/>
          <w:numId w:val="50"/>
        </w:numPr>
      </w:pPr>
      <w:r>
        <w:t>Investigational</w:t>
      </w:r>
      <w:r w:rsidR="00FF3B71" w:rsidRPr="00E87067">
        <w:t xml:space="preserve"> products should be quarantined</w:t>
      </w:r>
      <w:r w:rsidR="003B4C6E">
        <w:t xml:space="preserve"> when</w:t>
      </w:r>
      <w:r w:rsidR="00FF3B71" w:rsidRPr="00E87067">
        <w:t>:</w:t>
      </w:r>
    </w:p>
    <w:p w14:paraId="2C333849" w14:textId="77777777" w:rsidR="00FF3B71" w:rsidRPr="00E87067" w:rsidRDefault="00FF3B71" w:rsidP="003B4C6E">
      <w:pPr>
        <w:pStyle w:val="ListParagraph2"/>
        <w:numPr>
          <w:ilvl w:val="0"/>
          <w:numId w:val="51"/>
        </w:numPr>
        <w:ind w:left="1080"/>
      </w:pPr>
      <w:r w:rsidRPr="00E87067">
        <w:t>Proper storage conditions have not been maintained</w:t>
      </w:r>
    </w:p>
    <w:p w14:paraId="440320DC" w14:textId="77777777" w:rsidR="00FF3B71" w:rsidRPr="00E87067" w:rsidRDefault="00FF3B71" w:rsidP="003B4C6E">
      <w:pPr>
        <w:pStyle w:val="ListParagraph2"/>
        <w:numPr>
          <w:ilvl w:val="0"/>
          <w:numId w:val="51"/>
        </w:numPr>
        <w:ind w:left="1080"/>
      </w:pPr>
      <w:r w:rsidRPr="00E87067">
        <w:t>There is evidence of product tampering or breakage</w:t>
      </w:r>
    </w:p>
    <w:p w14:paraId="471077AE" w14:textId="77777777" w:rsidR="00FF3B71" w:rsidRPr="00E87067" w:rsidRDefault="00FF3B71" w:rsidP="003B4C6E">
      <w:pPr>
        <w:pStyle w:val="ListParagraph2"/>
        <w:numPr>
          <w:ilvl w:val="0"/>
          <w:numId w:val="51"/>
        </w:numPr>
        <w:ind w:left="1080"/>
      </w:pPr>
      <w:r w:rsidRPr="00E87067">
        <w:t>The DMID has requested that the product be quarantined</w:t>
      </w:r>
    </w:p>
    <w:p w14:paraId="5DCC2D4B" w14:textId="45954D7A" w:rsidR="00FF3B71" w:rsidRPr="00B76405" w:rsidRDefault="003B4C6E" w:rsidP="007528C7">
      <w:pPr>
        <w:pStyle w:val="Note0"/>
        <w:ind w:left="720"/>
        <w:rPr>
          <w:b/>
          <w:bCs/>
          <w:i w:val="0"/>
          <w:iCs/>
          <w:color w:val="000000" w:themeColor="text1"/>
          <w:sz w:val="22"/>
        </w:rPr>
      </w:pPr>
      <w:r w:rsidRPr="00B76405">
        <w:rPr>
          <w:b/>
          <w:bCs/>
          <w:i w:val="0"/>
          <w:iCs/>
          <w:color w:val="000000" w:themeColor="text1"/>
          <w:sz w:val="22"/>
        </w:rPr>
        <w:lastRenderedPageBreak/>
        <w:t xml:space="preserve">NOTE: </w:t>
      </w:r>
      <w:r w:rsidR="00FF3B71" w:rsidRPr="00B76405">
        <w:rPr>
          <w:b/>
          <w:bCs/>
          <w:i w:val="0"/>
          <w:iCs/>
          <w:color w:val="000000" w:themeColor="text1"/>
          <w:sz w:val="22"/>
        </w:rPr>
        <w:t xml:space="preserve">Excursions between 15-30°C (59°F to 86°F), the product can continue to be used (no quarantine) but the site needs to complete the DMID </w:t>
      </w:r>
      <w:r w:rsidR="009B3AA1" w:rsidRPr="00B76405">
        <w:rPr>
          <w:b/>
          <w:bCs/>
          <w:i w:val="0"/>
          <w:iCs/>
          <w:color w:val="000000" w:themeColor="text1"/>
          <w:sz w:val="22"/>
        </w:rPr>
        <w:t>Investigational</w:t>
      </w:r>
      <w:r w:rsidR="00FF3B71" w:rsidRPr="00B76405">
        <w:rPr>
          <w:b/>
          <w:bCs/>
          <w:i w:val="0"/>
          <w:iCs/>
          <w:color w:val="000000" w:themeColor="text1"/>
          <w:sz w:val="22"/>
        </w:rPr>
        <w:t xml:space="preserve"> Product Support Team Temperature Excursion Reporting Form and submit to PST.  Based on USP guidelines (General Chapter &lt;659&gt; Packaging and Storage Requirements</w:t>
      </w:r>
      <w:r w:rsidR="000A72F6" w:rsidRPr="00B76405">
        <w:rPr>
          <w:b/>
          <w:bCs/>
          <w:i w:val="0"/>
          <w:iCs/>
          <w:color w:val="000000" w:themeColor="text1"/>
          <w:sz w:val="22"/>
        </w:rPr>
        <w:t xml:space="preserve">, see section </w:t>
      </w:r>
      <w:r w:rsidR="0024778F" w:rsidRPr="00B76405">
        <w:rPr>
          <w:b/>
          <w:bCs/>
          <w:i w:val="0"/>
          <w:iCs/>
          <w:color w:val="000000" w:themeColor="text1"/>
          <w:sz w:val="22"/>
        </w:rPr>
        <w:fldChar w:fldCharType="begin"/>
      </w:r>
      <w:r w:rsidR="0024778F" w:rsidRPr="00B76405">
        <w:rPr>
          <w:b/>
          <w:bCs/>
          <w:i w:val="0"/>
          <w:iCs/>
          <w:color w:val="000000" w:themeColor="text1"/>
          <w:sz w:val="22"/>
        </w:rPr>
        <w:instrText xml:space="preserve"> REF _Ref207333460 \r \h </w:instrText>
      </w:r>
      <w:r w:rsidR="00900FCB" w:rsidRPr="00B76405">
        <w:rPr>
          <w:b/>
          <w:bCs/>
          <w:i w:val="0"/>
          <w:iCs/>
          <w:color w:val="000000" w:themeColor="text1"/>
          <w:sz w:val="22"/>
        </w:rPr>
        <w:instrText xml:space="preserve"> \* MERGEFORMAT </w:instrText>
      </w:r>
      <w:r w:rsidR="0024778F" w:rsidRPr="00B76405">
        <w:rPr>
          <w:b/>
          <w:bCs/>
          <w:i w:val="0"/>
          <w:iCs/>
          <w:color w:val="000000" w:themeColor="text1"/>
          <w:sz w:val="22"/>
        </w:rPr>
      </w:r>
      <w:r w:rsidR="0024778F" w:rsidRPr="00B76405">
        <w:rPr>
          <w:b/>
          <w:bCs/>
          <w:i w:val="0"/>
          <w:iCs/>
          <w:color w:val="000000" w:themeColor="text1"/>
          <w:sz w:val="22"/>
        </w:rPr>
        <w:fldChar w:fldCharType="separate"/>
      </w:r>
      <w:r w:rsidR="0024778F" w:rsidRPr="00B76405">
        <w:rPr>
          <w:b/>
          <w:bCs/>
          <w:i w:val="0"/>
          <w:iCs/>
          <w:color w:val="000000" w:themeColor="text1"/>
          <w:sz w:val="22"/>
        </w:rPr>
        <w:t>11.10</w:t>
      </w:r>
      <w:r w:rsidR="0024778F" w:rsidRPr="00B76405">
        <w:rPr>
          <w:b/>
          <w:bCs/>
          <w:i w:val="0"/>
          <w:iCs/>
          <w:color w:val="000000" w:themeColor="text1"/>
          <w:sz w:val="22"/>
        </w:rPr>
        <w:fldChar w:fldCharType="end"/>
      </w:r>
      <w:r w:rsidR="00FF3B71" w:rsidRPr="00B76405">
        <w:rPr>
          <w:b/>
          <w:bCs/>
          <w:i w:val="0"/>
          <w:iCs/>
          <w:color w:val="000000" w:themeColor="text1"/>
          <w:sz w:val="22"/>
        </w:rPr>
        <w:t>), excursions between 15°C and 30°C are allowed and will not be considered deviations</w:t>
      </w:r>
    </w:p>
    <w:p w14:paraId="7CF28357" w14:textId="77777777" w:rsidR="00FF3B71" w:rsidRPr="00E87067" w:rsidRDefault="00FF3B71" w:rsidP="003B4C6E">
      <w:pPr>
        <w:pStyle w:val="ListParagraph"/>
        <w:numPr>
          <w:ilvl w:val="0"/>
          <w:numId w:val="52"/>
        </w:numPr>
      </w:pPr>
      <w:r w:rsidRPr="00E87067">
        <w:t>Quarantined product(s) must be:</w:t>
      </w:r>
    </w:p>
    <w:p w14:paraId="7EA58C6C" w14:textId="50A6D85C" w:rsidR="00FF3B71" w:rsidRPr="00E87067" w:rsidRDefault="00FF3B71" w:rsidP="003B4C6E">
      <w:pPr>
        <w:pStyle w:val="ListParagraph2"/>
        <w:numPr>
          <w:ilvl w:val="0"/>
          <w:numId w:val="53"/>
        </w:numPr>
        <w:ind w:left="1080"/>
      </w:pPr>
      <w:r w:rsidRPr="00E87067">
        <w:t xml:space="preserve">Physically segregated from </w:t>
      </w:r>
      <w:r w:rsidR="009B3AA1">
        <w:t>investigational</w:t>
      </w:r>
      <w:r w:rsidRPr="00E87067">
        <w:t xml:space="preserve"> products that are still in use</w:t>
      </w:r>
    </w:p>
    <w:p w14:paraId="30091A20" w14:textId="77777777" w:rsidR="00FF3B71" w:rsidRPr="00E87067" w:rsidRDefault="00FF3B71" w:rsidP="003B4C6E">
      <w:pPr>
        <w:pStyle w:val="ListParagraph2"/>
        <w:numPr>
          <w:ilvl w:val="0"/>
          <w:numId w:val="53"/>
        </w:numPr>
        <w:ind w:left="1080"/>
      </w:pPr>
      <w:r w:rsidRPr="00E87067">
        <w:t>Maintained at the correct temperature unless the DMID has provided alternate instructions</w:t>
      </w:r>
    </w:p>
    <w:p w14:paraId="683C0016" w14:textId="77777777" w:rsidR="00FF3B71" w:rsidRPr="00E87067" w:rsidRDefault="00FF3B71" w:rsidP="003B4C6E">
      <w:pPr>
        <w:pStyle w:val="ListParagraph2"/>
        <w:numPr>
          <w:ilvl w:val="0"/>
          <w:numId w:val="53"/>
        </w:numPr>
        <w:ind w:left="1080"/>
      </w:pPr>
      <w:r w:rsidRPr="00E87067">
        <w:t>Clearly labeled that they are quarantined and should not be used</w:t>
      </w:r>
    </w:p>
    <w:p w14:paraId="60DC2A40" w14:textId="016003D1" w:rsidR="00FF3B71" w:rsidRPr="00E87067" w:rsidRDefault="00FF3B71" w:rsidP="003B4C6E">
      <w:pPr>
        <w:pStyle w:val="ListParagraph"/>
        <w:numPr>
          <w:ilvl w:val="0"/>
          <w:numId w:val="54"/>
        </w:numPr>
      </w:pPr>
      <w:r w:rsidRPr="00E87067">
        <w:t>Quarantined products must not be used, destroyed, or returned until written permission is granted by the DMID</w:t>
      </w:r>
    </w:p>
    <w:p w14:paraId="794DC66B" w14:textId="29B0675F" w:rsidR="00FF3B71" w:rsidRPr="00E87067" w:rsidRDefault="009B3AA1" w:rsidP="00B76405">
      <w:pPr>
        <w:pStyle w:val="Heading1"/>
      </w:pPr>
      <w:bookmarkStart w:id="134" w:name="5_Study_Product_Transport_and_Delivery"/>
      <w:bookmarkStart w:id="135" w:name="_Toc25151416"/>
      <w:bookmarkStart w:id="136" w:name="_Toc224716371"/>
      <w:bookmarkEnd w:id="134"/>
      <w:r>
        <w:t>Investigational</w:t>
      </w:r>
      <w:r w:rsidR="00FF3B71" w:rsidRPr="00E87067">
        <w:t xml:space="preserve"> Product Transport and Delivery</w:t>
      </w:r>
      <w:bookmarkEnd w:id="135"/>
      <w:bookmarkEnd w:id="136"/>
    </w:p>
    <w:p w14:paraId="37C1E9A9" w14:textId="0D02BE61" w:rsidR="00FF3B71" w:rsidRPr="00E87067" w:rsidRDefault="009B3AA1" w:rsidP="006B4525">
      <w:r>
        <w:t>Investigational</w:t>
      </w:r>
      <w:r w:rsidR="00FF3B71" w:rsidRPr="00E87067">
        <w:t xml:space="preserve"> products must be maintained properly during transport from one location to another</w:t>
      </w:r>
      <w:r w:rsidR="003012F2">
        <w:t xml:space="preserve"> (e.g. satellite pharmacy or </w:t>
      </w:r>
      <w:r w:rsidR="00001628">
        <w:t>clinical location)</w:t>
      </w:r>
      <w:r w:rsidR="00FF3B71" w:rsidRPr="00E87067">
        <w:t xml:space="preserve">. This includes ensuring that control of the </w:t>
      </w:r>
      <w:r>
        <w:t>investigational</w:t>
      </w:r>
      <w:r w:rsidR="00FF3B71" w:rsidRPr="00E87067">
        <w:t xml:space="preserve"> product and environmental conditions have been maintained during transport. The protocol and/or MOP usually </w:t>
      </w:r>
      <w:r w:rsidR="00044E81" w:rsidRPr="00E87067">
        <w:t>include</w:t>
      </w:r>
      <w:r w:rsidR="00FF3B71" w:rsidRPr="00E87067">
        <w:t xml:space="preserve"> specific instructions for the handling and transport of products.</w:t>
      </w:r>
    </w:p>
    <w:p w14:paraId="54BF25FB" w14:textId="77777777" w:rsidR="00E404EC" w:rsidRPr="00E404EC" w:rsidRDefault="00E404EC" w:rsidP="00E404EC">
      <w:pPr>
        <w:pStyle w:val="ListParagraph"/>
        <w:numPr>
          <w:ilvl w:val="0"/>
          <w:numId w:val="104"/>
        </w:numPr>
        <w:spacing w:before="240" w:after="240"/>
        <w:contextualSpacing w:val="0"/>
        <w:rPr>
          <w:rFonts w:ascii="Aptos Display" w:eastAsia="Times New Roman" w:hAnsi="Aptos Display" w:cs="Times New Roman"/>
          <w:b/>
          <w:bCs/>
          <w:vanish/>
          <w:color w:val="03569B"/>
          <w:sz w:val="36"/>
          <w:szCs w:val="28"/>
          <w:lang w:bidi="en-US"/>
        </w:rPr>
      </w:pPr>
      <w:bookmarkStart w:id="137" w:name="_Toc22044483"/>
      <w:bookmarkStart w:id="138" w:name="_Toc22044567"/>
      <w:bookmarkStart w:id="139" w:name="_Toc25150811"/>
      <w:bookmarkStart w:id="140" w:name="_Toc25151417"/>
      <w:bookmarkStart w:id="141" w:name="_Toc25151418"/>
      <w:bookmarkEnd w:id="137"/>
      <w:bookmarkEnd w:id="138"/>
      <w:bookmarkEnd w:id="139"/>
      <w:bookmarkEnd w:id="140"/>
    </w:p>
    <w:p w14:paraId="252DDCBA" w14:textId="0C452C3F" w:rsidR="00FF3B71" w:rsidRPr="00E87067" w:rsidRDefault="00FF3B71" w:rsidP="00E404EC">
      <w:pPr>
        <w:pStyle w:val="Heading3b"/>
      </w:pPr>
      <w:r w:rsidRPr="00E87067">
        <w:t xml:space="preserve">Control of </w:t>
      </w:r>
      <w:r w:rsidR="009B3AA1">
        <w:t>Investigational</w:t>
      </w:r>
      <w:r w:rsidRPr="00E87067">
        <w:t xml:space="preserve"> Product during Transport</w:t>
      </w:r>
      <w:bookmarkEnd w:id="141"/>
    </w:p>
    <w:p w14:paraId="6B79875C" w14:textId="267ED12A" w:rsidR="00FF3B71" w:rsidRPr="00E87067" w:rsidRDefault="00FF3B71" w:rsidP="007528C7">
      <w:pPr>
        <w:pStyle w:val="ListParagraph2"/>
      </w:pPr>
      <w:r w:rsidRPr="00E87067">
        <w:t xml:space="preserve">When </w:t>
      </w:r>
      <w:r w:rsidR="009B3AA1">
        <w:t>investigational</w:t>
      </w:r>
      <w:r w:rsidRPr="00E87067">
        <w:t xml:space="preserve"> </w:t>
      </w:r>
      <w:r w:rsidR="0017428A" w:rsidRPr="00E87067">
        <w:t>products</w:t>
      </w:r>
      <w:r w:rsidRPr="00E87067">
        <w:t xml:space="preserve"> are transported from one location to another, an SOP addressing all steps in </w:t>
      </w:r>
      <w:r w:rsidR="009B3AA1">
        <w:t>investigational</w:t>
      </w:r>
      <w:r w:rsidRPr="00E87067">
        <w:t xml:space="preserve"> product transport, including the method maintaining control of </w:t>
      </w:r>
      <w:r w:rsidR="009B3AA1">
        <w:t>investigational</w:t>
      </w:r>
      <w:r w:rsidRPr="00E87067">
        <w:t xml:space="preserve"> product, should be in place</w:t>
      </w:r>
    </w:p>
    <w:p w14:paraId="304AD2AD" w14:textId="715A8FC5" w:rsidR="00FF3B71" w:rsidRPr="00E87067" w:rsidRDefault="009B3AA1" w:rsidP="007528C7">
      <w:pPr>
        <w:pStyle w:val="ListParagraph2"/>
      </w:pPr>
      <w:r>
        <w:t>Investigational</w:t>
      </w:r>
      <w:r w:rsidR="00FF3B71" w:rsidRPr="00E87067">
        <w:t xml:space="preserve"> products should </w:t>
      </w:r>
      <w:r w:rsidR="000D21DB" w:rsidRPr="00E87067">
        <w:t xml:space="preserve">always remain in </w:t>
      </w:r>
      <w:r w:rsidR="00FC7C33" w:rsidRPr="00E87067">
        <w:t>custody</w:t>
      </w:r>
      <w:r w:rsidR="000D21DB" w:rsidRPr="00E87067">
        <w:t xml:space="preserve"> of authorized personnel</w:t>
      </w:r>
      <w:r w:rsidR="00FF3B71" w:rsidRPr="00E87067">
        <w:t xml:space="preserve"> during transport</w:t>
      </w:r>
      <w:r w:rsidR="00AE5F82">
        <w:t>.</w:t>
      </w:r>
    </w:p>
    <w:p w14:paraId="4181133C" w14:textId="1ED7574C" w:rsidR="00FF3B71" w:rsidRPr="00E87067" w:rsidRDefault="00FF3B71" w:rsidP="007528C7">
      <w:pPr>
        <w:pStyle w:val="ListParagraph2"/>
      </w:pPr>
      <w:r w:rsidRPr="00E87067">
        <w:t xml:space="preserve">When </w:t>
      </w:r>
      <w:r w:rsidR="009B3AA1">
        <w:t>investigational</w:t>
      </w:r>
      <w:r w:rsidRPr="00E87067">
        <w:t xml:space="preserve"> products are transported from the institution to other sites, the authorized personnel engaged in the transaction should be documented on a</w:t>
      </w:r>
      <w:r w:rsidR="00BA499C">
        <w:t>n</w:t>
      </w:r>
      <w:r w:rsidRPr="00E87067">
        <w:t xml:space="preserve"> </w:t>
      </w:r>
      <w:r w:rsidR="009B3AA1">
        <w:t>investigational</w:t>
      </w:r>
      <w:r w:rsidRPr="00E87067">
        <w:t xml:space="preserve"> product transport record, as applicable</w:t>
      </w:r>
    </w:p>
    <w:p w14:paraId="0FCBBD37" w14:textId="360755B2" w:rsidR="00FF3B71" w:rsidRPr="00E87067" w:rsidRDefault="00FF3B71" w:rsidP="007528C7">
      <w:pPr>
        <w:pStyle w:val="ListParagraph2"/>
      </w:pPr>
      <w:r w:rsidRPr="00E87067">
        <w:t xml:space="preserve">In general, the documentation for </w:t>
      </w:r>
      <w:r w:rsidR="009B3AA1">
        <w:t>investigational</w:t>
      </w:r>
      <w:r w:rsidRPr="00E87067">
        <w:t xml:space="preserve"> product transport should include, but are not limited to the following:</w:t>
      </w:r>
    </w:p>
    <w:p w14:paraId="1626A759" w14:textId="77777777" w:rsidR="00FF3B71" w:rsidRPr="00E87067" w:rsidRDefault="00FF3B71" w:rsidP="00AE5F82">
      <w:pPr>
        <w:pStyle w:val="ListParagraph2"/>
        <w:numPr>
          <w:ilvl w:val="0"/>
          <w:numId w:val="56"/>
        </w:numPr>
        <w:ind w:left="1080"/>
      </w:pPr>
      <w:r w:rsidRPr="00E87067">
        <w:t>Protocol number</w:t>
      </w:r>
    </w:p>
    <w:p w14:paraId="63EEB5EE" w14:textId="77777777" w:rsidR="00FF3B71" w:rsidRPr="00E87067" w:rsidRDefault="00FF3B71" w:rsidP="00AE5F82">
      <w:pPr>
        <w:pStyle w:val="ListParagraph2"/>
        <w:numPr>
          <w:ilvl w:val="0"/>
          <w:numId w:val="56"/>
        </w:numPr>
        <w:ind w:left="1080"/>
      </w:pPr>
      <w:r w:rsidRPr="00E87067">
        <w:t>Investigator and/or site number</w:t>
      </w:r>
    </w:p>
    <w:p w14:paraId="57C658EE" w14:textId="77777777" w:rsidR="00FF3B71" w:rsidRPr="00E87067" w:rsidRDefault="00FF3B71" w:rsidP="00AE5F82">
      <w:pPr>
        <w:pStyle w:val="ListParagraph2"/>
        <w:numPr>
          <w:ilvl w:val="0"/>
          <w:numId w:val="56"/>
        </w:numPr>
        <w:ind w:left="1080"/>
      </w:pPr>
      <w:r w:rsidRPr="00E87067">
        <w:t>Name of courier</w:t>
      </w:r>
    </w:p>
    <w:p w14:paraId="6F4E8AC2" w14:textId="77777777" w:rsidR="00FF3B71" w:rsidRPr="00E87067" w:rsidRDefault="00FF3B71" w:rsidP="00AE5F82">
      <w:pPr>
        <w:pStyle w:val="ListParagraph2"/>
        <w:numPr>
          <w:ilvl w:val="0"/>
          <w:numId w:val="56"/>
        </w:numPr>
        <w:ind w:left="1080"/>
      </w:pPr>
      <w:r w:rsidRPr="00E87067">
        <w:t>Name of recipient</w:t>
      </w:r>
    </w:p>
    <w:p w14:paraId="332E2EB0" w14:textId="05977E2A" w:rsidR="00FF3B71" w:rsidRPr="00E87067" w:rsidRDefault="00FF3B71" w:rsidP="00AE5F82">
      <w:pPr>
        <w:pStyle w:val="ListParagraph2"/>
        <w:numPr>
          <w:ilvl w:val="0"/>
          <w:numId w:val="56"/>
        </w:numPr>
        <w:ind w:left="1080"/>
      </w:pPr>
      <w:r w:rsidRPr="00E87067">
        <w:t xml:space="preserve">Name and </w:t>
      </w:r>
      <w:r w:rsidR="000D21DB" w:rsidRPr="00E87067">
        <w:t>number</w:t>
      </w:r>
      <w:r w:rsidRPr="00E87067">
        <w:t xml:space="preserve"> of contents being transported (for example, if vials are individually labeled, those label sequences should be recorded)</w:t>
      </w:r>
    </w:p>
    <w:p w14:paraId="0DC1D34F" w14:textId="62676AAD" w:rsidR="00FF3B71" w:rsidRPr="00E87067" w:rsidRDefault="00FF3B71" w:rsidP="00AE5F82">
      <w:pPr>
        <w:pStyle w:val="ListParagraph2"/>
        <w:numPr>
          <w:ilvl w:val="0"/>
          <w:numId w:val="56"/>
        </w:numPr>
        <w:ind w:left="1080"/>
      </w:pPr>
      <w:r w:rsidRPr="00E87067">
        <w:t xml:space="preserve">Date and time </w:t>
      </w:r>
      <w:r w:rsidR="009B3AA1">
        <w:t>investigational</w:t>
      </w:r>
      <w:r w:rsidRPr="00E87067">
        <w:t xml:space="preserve"> product prepared (if applicable)</w:t>
      </w:r>
    </w:p>
    <w:p w14:paraId="5FD4281B" w14:textId="3FF79314" w:rsidR="00FF3B71" w:rsidRPr="00E87067" w:rsidRDefault="00FF3B71" w:rsidP="00AE5F82">
      <w:pPr>
        <w:pStyle w:val="ListParagraph2"/>
        <w:numPr>
          <w:ilvl w:val="0"/>
          <w:numId w:val="56"/>
        </w:numPr>
        <w:ind w:left="1080"/>
      </w:pPr>
      <w:r w:rsidRPr="00E87067">
        <w:lastRenderedPageBreak/>
        <w:t xml:space="preserve">Date and time </w:t>
      </w:r>
      <w:r w:rsidR="009B3AA1">
        <w:t>investigational</w:t>
      </w:r>
      <w:r w:rsidRPr="00E87067">
        <w:t xml:space="preserve"> product dispensed</w:t>
      </w:r>
    </w:p>
    <w:p w14:paraId="69138CAA" w14:textId="40A4DB06" w:rsidR="00FF3B71" w:rsidRPr="00E87067" w:rsidRDefault="00FF3B71" w:rsidP="00AE5F82">
      <w:pPr>
        <w:pStyle w:val="ListParagraph2"/>
        <w:numPr>
          <w:ilvl w:val="0"/>
          <w:numId w:val="56"/>
        </w:numPr>
        <w:ind w:left="1080"/>
      </w:pPr>
      <w:r w:rsidRPr="00E87067">
        <w:t xml:space="preserve">Date and time </w:t>
      </w:r>
      <w:r w:rsidR="009B3AA1">
        <w:t>investigational</w:t>
      </w:r>
      <w:r w:rsidRPr="00E87067">
        <w:t xml:space="preserve"> product received</w:t>
      </w:r>
      <w:r w:rsidR="00E464B1">
        <w:t xml:space="preserve"> at final </w:t>
      </w:r>
      <w:r w:rsidR="00D91ACD">
        <w:t xml:space="preserve">transport </w:t>
      </w:r>
      <w:r w:rsidR="00E464B1">
        <w:t>destination</w:t>
      </w:r>
    </w:p>
    <w:p w14:paraId="2E085570" w14:textId="77777777" w:rsidR="00FF3B71" w:rsidRPr="00E87067" w:rsidRDefault="00FF3B71" w:rsidP="00AE5F82">
      <w:pPr>
        <w:pStyle w:val="ListParagraph"/>
        <w:numPr>
          <w:ilvl w:val="0"/>
          <w:numId w:val="57"/>
        </w:numPr>
      </w:pPr>
      <w:r w:rsidRPr="00E87067">
        <w:t>Pneumatic tube systems must not be used.</w:t>
      </w:r>
    </w:p>
    <w:p w14:paraId="10C270F3" w14:textId="77777777" w:rsidR="00FF3B71" w:rsidRPr="00E87067" w:rsidRDefault="00FF3B71" w:rsidP="007528C7">
      <w:pPr>
        <w:pStyle w:val="Heading3b"/>
      </w:pPr>
      <w:bookmarkStart w:id="142" w:name="_Toc22044485"/>
      <w:bookmarkStart w:id="143" w:name="_Toc22044569"/>
      <w:bookmarkStart w:id="144" w:name="_Toc25150813"/>
      <w:bookmarkStart w:id="145" w:name="_Toc25151419"/>
      <w:bookmarkStart w:id="146" w:name="_Toc25151420"/>
      <w:bookmarkEnd w:id="142"/>
      <w:bookmarkEnd w:id="143"/>
      <w:bookmarkEnd w:id="144"/>
      <w:bookmarkEnd w:id="145"/>
      <w:r w:rsidRPr="00E87067">
        <w:t>Environmental Conditions during Transport</w:t>
      </w:r>
      <w:bookmarkEnd w:id="146"/>
    </w:p>
    <w:p w14:paraId="0E73C3CA" w14:textId="64BF88C7" w:rsidR="00FF3B71" w:rsidRPr="00E87067" w:rsidRDefault="00FF3B71" w:rsidP="007528C7">
      <w:pPr>
        <w:pStyle w:val="ListParagraph2"/>
      </w:pPr>
      <w:r w:rsidRPr="00E87067">
        <w:t xml:space="preserve">Requirements for maintaining environmental conditions should be identified prior to </w:t>
      </w:r>
      <w:r w:rsidR="009B3AA1">
        <w:t>investigational</w:t>
      </w:r>
      <w:r w:rsidRPr="00E87067">
        <w:t xml:space="preserve"> product transport and included in the MOP </w:t>
      </w:r>
      <w:r w:rsidR="004A2BEC">
        <w:t>and</w:t>
      </w:r>
      <w:r w:rsidRPr="00E87067">
        <w:t xml:space="preserve"> a</w:t>
      </w:r>
      <w:r w:rsidR="00A46D3F">
        <w:t xml:space="preserve"> local</w:t>
      </w:r>
      <w:r w:rsidRPr="00E87067">
        <w:t xml:space="preserve"> SOP</w:t>
      </w:r>
    </w:p>
    <w:p w14:paraId="0A2AE7FD" w14:textId="24E9B2F3" w:rsidR="00FF3B71" w:rsidRPr="00E87067" w:rsidRDefault="00FF3B71" w:rsidP="007528C7">
      <w:pPr>
        <w:pStyle w:val="ListParagraph2"/>
      </w:pPr>
      <w:r w:rsidRPr="00E87067">
        <w:t xml:space="preserve">In addition to written site-specific processes and procedures, the site SOP should specify that </w:t>
      </w:r>
      <w:r w:rsidR="009B3AA1">
        <w:t>investigational</w:t>
      </w:r>
      <w:r w:rsidRPr="00E87067">
        <w:t xml:space="preserve"> </w:t>
      </w:r>
      <w:r w:rsidR="00044E81" w:rsidRPr="00E87067">
        <w:t>products</w:t>
      </w:r>
      <w:r w:rsidRPr="00E87067">
        <w:t xml:space="preserve"> </w:t>
      </w:r>
      <w:r w:rsidR="00CE7FC3" w:rsidRPr="00E87067">
        <w:t xml:space="preserve">always be in custody </w:t>
      </w:r>
      <w:r w:rsidRPr="00E87067">
        <w:t xml:space="preserve">during transport, delivered directly to the off- site location, and promptly unpacked and placed into appropriate storage units upon arrival. If transporting </w:t>
      </w:r>
      <w:r w:rsidR="009B3AA1">
        <w:t>investigational</w:t>
      </w:r>
      <w:r w:rsidRPr="00E87067">
        <w:t xml:space="preserve"> product will require the use of a non-commercial vehicle, the passenger compartment must be used. </w:t>
      </w:r>
      <w:r w:rsidR="009B3AA1">
        <w:t>Investigational</w:t>
      </w:r>
      <w:r w:rsidRPr="00E87067">
        <w:t xml:space="preserve"> product must not be placed in the trunk of the vehicle</w:t>
      </w:r>
    </w:p>
    <w:p w14:paraId="2B1292F4" w14:textId="5AFCB804" w:rsidR="00FF3B71" w:rsidRPr="00E87067" w:rsidRDefault="00FF3B71" w:rsidP="007528C7">
      <w:pPr>
        <w:pStyle w:val="ListParagraph2"/>
      </w:pPr>
      <w:r w:rsidRPr="00E87067">
        <w:t>Cold</w:t>
      </w:r>
      <w:r w:rsidR="007B1E59">
        <w:t xml:space="preserve"> </w:t>
      </w:r>
      <w:r w:rsidRPr="00E87067">
        <w:t xml:space="preserve">chain should be maintained during </w:t>
      </w:r>
      <w:r w:rsidR="00CE7FC3" w:rsidRPr="00E87067">
        <w:t>transport</w:t>
      </w:r>
      <w:r w:rsidRPr="00E87067">
        <w:t xml:space="preserve">. The number of times </w:t>
      </w:r>
      <w:r w:rsidR="009B3AA1">
        <w:t>investigational</w:t>
      </w:r>
      <w:r w:rsidRPr="00E87067">
        <w:t xml:space="preserve"> </w:t>
      </w:r>
      <w:r w:rsidR="00CE7FC3" w:rsidRPr="00E87067">
        <w:t>products are</w:t>
      </w:r>
      <w:r w:rsidRPr="00E87067">
        <w:t xml:space="preserve"> handled and transported must be kept to a minimum. The appropriate temperature conditions must be maintained during transport, which may require the use of appropriate packaging materials, conditioned coolant packs, transport containers, and calibrated thermometers or temperature recording devices to document the temperature during transport</w:t>
      </w:r>
    </w:p>
    <w:p w14:paraId="029C5D68" w14:textId="76803BC7" w:rsidR="00FF3B71" w:rsidRPr="00E87067" w:rsidRDefault="009B3AA1" w:rsidP="007528C7">
      <w:pPr>
        <w:pStyle w:val="ListParagraph2"/>
      </w:pPr>
      <w:r>
        <w:t>Investigational</w:t>
      </w:r>
      <w:r w:rsidR="00FF3B71" w:rsidRPr="00E87067">
        <w:t xml:space="preserve"> product(s) should be packaged in containers with packaging materials designed to maintain the proper storage conditions during transport as per the protocol/MOP or </w:t>
      </w:r>
      <w:r w:rsidR="002F6F80">
        <w:t xml:space="preserve">local </w:t>
      </w:r>
      <w:r w:rsidR="00FF3B71" w:rsidRPr="00E87067">
        <w:t xml:space="preserve">SOP and to protect the </w:t>
      </w:r>
      <w:r>
        <w:t>investigational</w:t>
      </w:r>
      <w:r w:rsidR="00FF3B71" w:rsidRPr="00E87067">
        <w:t xml:space="preserve"> product from damage, leakage, contamination, and degradation</w:t>
      </w:r>
    </w:p>
    <w:p w14:paraId="43B80C30" w14:textId="1A97CC8A" w:rsidR="00FF3B71" w:rsidRPr="00E87067" w:rsidRDefault="002A41DF" w:rsidP="007528C7">
      <w:pPr>
        <w:pStyle w:val="ListParagraph2"/>
      </w:pPr>
      <w:r>
        <w:t>When</w:t>
      </w:r>
      <w:r w:rsidR="00FF3B71" w:rsidRPr="00E87067">
        <w:t xml:space="preserve"> refrigerated </w:t>
      </w:r>
      <w:r w:rsidR="009B3AA1">
        <w:t>investigational</w:t>
      </w:r>
      <w:r w:rsidR="00FF3B71" w:rsidRPr="00E87067">
        <w:t xml:space="preserve"> product requires transport or if frozen </w:t>
      </w:r>
      <w:r w:rsidR="009B3AA1">
        <w:t>investigational</w:t>
      </w:r>
      <w:r w:rsidR="00FF3B71" w:rsidRPr="00E87067">
        <w:t xml:space="preserve"> product may be transported at refrigerated temperatures, the DMID recommends transport with the use of portable refrigerator units. Hard-sided insulated coolers with at least 2-inch walls or validated insulated shipping containers may be used if it can maintain the recommended temperature range (2</w:t>
      </w:r>
      <w:r w:rsidR="006B4525" w:rsidRPr="006B4525">
        <w:rPr>
          <w:rFonts w:cs="Times New Roman"/>
          <w:vertAlign w:val="superscript"/>
        </w:rPr>
        <w:t>◦</w:t>
      </w:r>
      <w:r w:rsidR="00FF3B71" w:rsidRPr="00E87067">
        <w:t>C and 8</w:t>
      </w:r>
      <w:r w:rsidR="006B4525" w:rsidRPr="006B4525">
        <w:rPr>
          <w:rFonts w:cs="Times New Roman"/>
          <w:vertAlign w:val="superscript"/>
        </w:rPr>
        <w:t>◦</w:t>
      </w:r>
      <w:r w:rsidR="00FF3B71" w:rsidRPr="00E87067">
        <w:t>C [between 35.6</w:t>
      </w:r>
      <w:r w:rsidR="006B4525" w:rsidRPr="006B4525">
        <w:rPr>
          <w:rFonts w:cs="Times New Roman"/>
          <w:vertAlign w:val="superscript"/>
        </w:rPr>
        <w:t>◦</w:t>
      </w:r>
      <w:r w:rsidR="00FF3B71" w:rsidRPr="00E87067">
        <w:t>F and 46.4</w:t>
      </w:r>
      <w:r w:rsidR="006B4525" w:rsidRPr="006B4525">
        <w:rPr>
          <w:rFonts w:cs="Times New Roman"/>
          <w:vertAlign w:val="superscript"/>
        </w:rPr>
        <w:t>◦</w:t>
      </w:r>
      <w:r w:rsidR="00FF3B71" w:rsidRPr="00E87067">
        <w:t>F])</w:t>
      </w:r>
    </w:p>
    <w:p w14:paraId="06B86A21" w14:textId="79F8C2EE" w:rsidR="00FF3B71" w:rsidRPr="00E87067" w:rsidRDefault="002A41DF" w:rsidP="007528C7">
      <w:pPr>
        <w:pStyle w:val="ListParagraph2"/>
      </w:pPr>
      <w:r>
        <w:t>When</w:t>
      </w:r>
      <w:r w:rsidR="00FF3B71" w:rsidRPr="00E87067">
        <w:t xml:space="preserve"> frozen </w:t>
      </w:r>
      <w:r w:rsidR="009B3AA1">
        <w:t>investigational</w:t>
      </w:r>
      <w:r w:rsidR="00FF3B71" w:rsidRPr="00E87067">
        <w:t xml:space="preserve"> </w:t>
      </w:r>
      <w:r w:rsidR="00C8345F" w:rsidRPr="00E87067">
        <w:t>products require</w:t>
      </w:r>
      <w:r w:rsidR="00FF3B71" w:rsidRPr="00E87067">
        <w:t xml:space="preserve"> transport, the DMID recommends transport with portable freezer units</w:t>
      </w:r>
    </w:p>
    <w:p w14:paraId="6BCC328D" w14:textId="2C2C5DCD" w:rsidR="00FF3B71" w:rsidRPr="00E87067" w:rsidRDefault="00FF3B71" w:rsidP="007528C7">
      <w:pPr>
        <w:pStyle w:val="ListParagraph2"/>
      </w:pPr>
      <w:r w:rsidRPr="00E87067">
        <w:t>Cold</w:t>
      </w:r>
      <w:r w:rsidR="007B1E59">
        <w:t xml:space="preserve"> </w:t>
      </w:r>
      <w:r w:rsidRPr="00E87067">
        <w:t>chain or other specified environmental conditions must also be maintained at the recipient site</w:t>
      </w:r>
    </w:p>
    <w:p w14:paraId="13BC3EC4" w14:textId="0346AC8F" w:rsidR="00FF3B71" w:rsidRPr="00E87067" w:rsidRDefault="002A41DF" w:rsidP="007528C7">
      <w:pPr>
        <w:pStyle w:val="ListParagraph2"/>
      </w:pPr>
      <w:r>
        <w:t>When</w:t>
      </w:r>
      <w:r w:rsidR="00FF3B71" w:rsidRPr="00E87067">
        <w:t xml:space="preserve"> </w:t>
      </w:r>
      <w:r w:rsidR="009B3AA1">
        <w:t>investigational</w:t>
      </w:r>
      <w:r w:rsidR="00FF3B71" w:rsidRPr="00E87067">
        <w:t xml:space="preserve"> product must be kept in a transport container at an off-site location</w:t>
      </w:r>
      <w:r w:rsidR="008A5AD0">
        <w:t>:</w:t>
      </w:r>
    </w:p>
    <w:p w14:paraId="37C09C47" w14:textId="464E1BDA" w:rsidR="00FF3B71" w:rsidRPr="00E87067" w:rsidRDefault="008A5AD0" w:rsidP="008A5AD0">
      <w:pPr>
        <w:pStyle w:val="ListParagraph2"/>
        <w:numPr>
          <w:ilvl w:val="0"/>
          <w:numId w:val="61"/>
        </w:numPr>
        <w:ind w:left="1080"/>
      </w:pPr>
      <w:r>
        <w:t>Keep t</w:t>
      </w:r>
      <w:r w:rsidR="00FF3B71" w:rsidRPr="00E87067">
        <w:t>he container closed as much as possible</w:t>
      </w:r>
      <w:r>
        <w:t>.</w:t>
      </w:r>
    </w:p>
    <w:p w14:paraId="733816AC" w14:textId="6E6EFF70" w:rsidR="00FF3B71" w:rsidRPr="00E87067" w:rsidRDefault="008A5AD0" w:rsidP="008A5AD0">
      <w:pPr>
        <w:pStyle w:val="ListParagraph2"/>
        <w:numPr>
          <w:ilvl w:val="0"/>
          <w:numId w:val="61"/>
        </w:numPr>
        <w:ind w:left="1080"/>
      </w:pPr>
      <w:r>
        <w:t>Remove o</w:t>
      </w:r>
      <w:r w:rsidR="00FF3B71" w:rsidRPr="00E87067">
        <w:t>nly the required product for administration</w:t>
      </w:r>
      <w:r>
        <w:t>.</w:t>
      </w:r>
    </w:p>
    <w:p w14:paraId="49CABE3E" w14:textId="431D81B2" w:rsidR="00FF3B71" w:rsidRPr="00E87067" w:rsidRDefault="008A5AD0" w:rsidP="008A5AD0">
      <w:pPr>
        <w:pStyle w:val="ListParagraph2"/>
        <w:numPr>
          <w:ilvl w:val="0"/>
          <w:numId w:val="61"/>
        </w:numPr>
        <w:ind w:left="1080"/>
      </w:pPr>
      <w:r>
        <w:t>Place t</w:t>
      </w:r>
      <w:r w:rsidR="00FF3B71" w:rsidRPr="00E87067">
        <w:t xml:space="preserve">he calibrated thermometer(s) (preferably with a biosafe glycol-encased thermometer probe) as close as possible to the </w:t>
      </w:r>
      <w:r w:rsidR="009B3AA1">
        <w:t>investigational</w:t>
      </w:r>
      <w:r w:rsidR="00FF3B71" w:rsidRPr="00E87067">
        <w:t xml:space="preserve"> product</w:t>
      </w:r>
    </w:p>
    <w:p w14:paraId="01F130CF" w14:textId="0F2293B6" w:rsidR="00FF3B71" w:rsidRPr="00E87067" w:rsidRDefault="008A5AD0" w:rsidP="008A5AD0">
      <w:pPr>
        <w:pStyle w:val="ListParagraph2"/>
        <w:numPr>
          <w:ilvl w:val="0"/>
          <w:numId w:val="61"/>
        </w:numPr>
        <w:ind w:left="1080"/>
      </w:pPr>
      <w:r>
        <w:t>Read and document t</w:t>
      </w:r>
      <w:r w:rsidR="00FF3B71" w:rsidRPr="00E87067">
        <w:t>he temperature(s) inside the container(s) at least hourly</w:t>
      </w:r>
    </w:p>
    <w:p w14:paraId="1CEA3856" w14:textId="06CF4A7E" w:rsidR="00FF3B71" w:rsidRPr="00E87067" w:rsidRDefault="008A5AD0" w:rsidP="008A5AD0">
      <w:pPr>
        <w:pStyle w:val="ListParagraph2"/>
        <w:numPr>
          <w:ilvl w:val="0"/>
          <w:numId w:val="61"/>
        </w:numPr>
        <w:ind w:left="1080"/>
      </w:pPr>
      <w:r>
        <w:lastRenderedPageBreak/>
        <w:t>U</w:t>
      </w:r>
      <w:r w:rsidRPr="008A5AD0">
        <w:t xml:space="preserve">se a digital thermometer with temperature display and external, detachable temperature probe </w:t>
      </w:r>
      <w:r>
        <w:t>t</w:t>
      </w:r>
      <w:r w:rsidR="00FF3B71" w:rsidRPr="00E87067">
        <w:t xml:space="preserve">o minimize the exposure of the </w:t>
      </w:r>
      <w:r w:rsidR="009B3AA1">
        <w:t>investigational</w:t>
      </w:r>
      <w:r w:rsidR="00FF3B71" w:rsidRPr="00E87067">
        <w:t xml:space="preserve"> product to external environmental conditions</w:t>
      </w:r>
      <w:r>
        <w:t xml:space="preserve"> and</w:t>
      </w:r>
      <w:r w:rsidR="00FF3B71" w:rsidRPr="00E87067">
        <w:t xml:space="preserve"> to read and document temperature(s) inside the container</w:t>
      </w:r>
    </w:p>
    <w:p w14:paraId="60800B7E" w14:textId="08750F50" w:rsidR="00FF3B71" w:rsidRPr="00E87067" w:rsidRDefault="00A96DDB" w:rsidP="007528C7">
      <w:pPr>
        <w:pStyle w:val="ListParagraph2"/>
      </w:pPr>
      <w:r>
        <w:t xml:space="preserve">For </w:t>
      </w:r>
      <w:r w:rsidR="009B3AA1">
        <w:t>investigational</w:t>
      </w:r>
      <w:r>
        <w:t xml:space="preserve"> products requiring room temperature storage, if transport of the product occurs within a temperature-controlled environment (such as within a building or temperature-controlled vehicle), temperature monitoring is not required. If transport of </w:t>
      </w:r>
      <w:r w:rsidR="00044E81">
        <w:t>products</w:t>
      </w:r>
      <w:r>
        <w:t xml:space="preserve"> occurs outside of a temperature-controlled environment, temperature monitoring is recommended. If environmental temperatures exceeding 40°C (104°F) are anticipated during transport, temperature monitoring and documentation is strongly recommended</w:t>
      </w:r>
    </w:p>
    <w:p w14:paraId="2B45BFDC" w14:textId="0DD92B56" w:rsidR="00FF3B71" w:rsidRPr="00E87067" w:rsidRDefault="002D16AB" w:rsidP="007528C7">
      <w:pPr>
        <w:pStyle w:val="ListParagraph2"/>
      </w:pPr>
      <w:r>
        <w:t>T</w:t>
      </w:r>
      <w:r w:rsidRPr="002D16AB">
        <w:t xml:space="preserve">ransport of </w:t>
      </w:r>
      <w:r w:rsidR="009B3AA1">
        <w:t>investigational</w:t>
      </w:r>
      <w:r w:rsidRPr="002D16AB">
        <w:t xml:space="preserve"> </w:t>
      </w:r>
      <w:r w:rsidR="00044E81" w:rsidRPr="002D16AB">
        <w:t>products</w:t>
      </w:r>
      <w:r w:rsidRPr="002D16AB">
        <w:t xml:space="preserve"> must not occur </w:t>
      </w:r>
      <w:r>
        <w:t>when</w:t>
      </w:r>
      <w:r w:rsidR="00FF3B71" w:rsidRPr="00E87067">
        <w:t xml:space="preserve"> the site cannot ensure that </w:t>
      </w:r>
      <w:r w:rsidR="009B3AA1">
        <w:t>investigational</w:t>
      </w:r>
      <w:r w:rsidR="00FF3B71" w:rsidRPr="00E87067">
        <w:t xml:space="preserve"> products are transported under appropriate cold chain management or maintained under appropriate storage conditions upon arrival</w:t>
      </w:r>
    </w:p>
    <w:p w14:paraId="2DDE21A8" w14:textId="77777777" w:rsidR="00FF3B71" w:rsidRPr="00E87067" w:rsidRDefault="00FF3B71" w:rsidP="00B76405">
      <w:pPr>
        <w:pStyle w:val="Heading1"/>
      </w:pPr>
      <w:bookmarkStart w:id="147" w:name="6_Preparation,_Dispensation_and_Administ"/>
      <w:bookmarkStart w:id="148" w:name="_Toc25151421"/>
      <w:bookmarkStart w:id="149" w:name="_Toc224716372"/>
      <w:bookmarkEnd w:id="147"/>
      <w:r w:rsidRPr="00E87067">
        <w:t>Preparation, Dispensation and Administration</w:t>
      </w:r>
      <w:bookmarkEnd w:id="148"/>
      <w:bookmarkEnd w:id="149"/>
    </w:p>
    <w:p w14:paraId="3DBDEF7E" w14:textId="100F398B" w:rsidR="00FF3B71" w:rsidRPr="00E87067" w:rsidRDefault="00FF3B71" w:rsidP="00E87067">
      <w:r w:rsidRPr="00E87067">
        <w:t xml:space="preserve">The Research Pharmacist is responsible for ensuring that the policies and regulations within their jurisdiction are followed when preparing and dispensing </w:t>
      </w:r>
      <w:r w:rsidR="009B3AA1">
        <w:t>investigational</w:t>
      </w:r>
      <w:r w:rsidRPr="00E87067">
        <w:t xml:space="preserve"> products. This includes following requirements as they pertain to prescriptions, medication prescribing orders and labeling. In addition, instructions specific to a trial or about a</w:t>
      </w:r>
      <w:r w:rsidR="00386E11">
        <w:t>n</w:t>
      </w:r>
      <w:r w:rsidRPr="00E87067">
        <w:t xml:space="preserve"> </w:t>
      </w:r>
      <w:r w:rsidR="009B3AA1">
        <w:t>investigational</w:t>
      </w:r>
      <w:r w:rsidRPr="00E87067">
        <w:t xml:space="preserve"> product must also be followed. Therefore, it is important that the Research Pharmacist and PI have a system in place that ensures that the Research Pharmacist is </w:t>
      </w:r>
      <w:r w:rsidR="00C8345F" w:rsidRPr="00E87067">
        <w:t>provided with</w:t>
      </w:r>
      <w:r w:rsidRPr="00E87067">
        <w:t xml:space="preserve"> the most updated essential information for preparation and dispensation of </w:t>
      </w:r>
      <w:r w:rsidR="009B3AA1">
        <w:t>investigational</w:t>
      </w:r>
      <w:r w:rsidRPr="00E87067">
        <w:t xml:space="preserve"> products in a trial.</w:t>
      </w:r>
    </w:p>
    <w:p w14:paraId="426C5EEC" w14:textId="77777777" w:rsidR="00E404EC" w:rsidRPr="00E404EC" w:rsidRDefault="00E404EC" w:rsidP="00E404EC">
      <w:pPr>
        <w:pStyle w:val="ListParagraph"/>
        <w:numPr>
          <w:ilvl w:val="0"/>
          <w:numId w:val="104"/>
        </w:numPr>
        <w:spacing w:before="240" w:after="240"/>
        <w:contextualSpacing w:val="0"/>
        <w:rPr>
          <w:rFonts w:ascii="Aptos Display" w:eastAsia="Times New Roman" w:hAnsi="Aptos Display" w:cs="Times New Roman"/>
          <w:b/>
          <w:bCs/>
          <w:vanish/>
          <w:color w:val="03569B"/>
          <w:sz w:val="36"/>
          <w:szCs w:val="28"/>
          <w:lang w:bidi="en-US"/>
        </w:rPr>
      </w:pPr>
      <w:bookmarkStart w:id="150" w:name="_Toc25150816"/>
      <w:bookmarkStart w:id="151" w:name="_Toc25151422"/>
      <w:bookmarkStart w:id="152" w:name="_Toc22044488"/>
      <w:bookmarkStart w:id="153" w:name="_Toc22044572"/>
      <w:bookmarkStart w:id="154" w:name="_Toc25150817"/>
      <w:bookmarkStart w:id="155" w:name="_Toc25151423"/>
      <w:bookmarkStart w:id="156" w:name="_Toc25151424"/>
      <w:bookmarkEnd w:id="150"/>
      <w:bookmarkEnd w:id="151"/>
      <w:bookmarkEnd w:id="152"/>
      <w:bookmarkEnd w:id="153"/>
      <w:bookmarkEnd w:id="154"/>
      <w:bookmarkEnd w:id="155"/>
    </w:p>
    <w:p w14:paraId="3A9976DC" w14:textId="731331DA" w:rsidR="00FF3B71" w:rsidRPr="00E87067" w:rsidRDefault="00FF3B71" w:rsidP="00E404EC">
      <w:pPr>
        <w:pStyle w:val="Heading3b"/>
      </w:pPr>
      <w:r w:rsidRPr="00E87067">
        <w:t>Prescriptions or Medication Prescribing Orders</w:t>
      </w:r>
      <w:bookmarkEnd w:id="156"/>
    </w:p>
    <w:p w14:paraId="2C71B7B4" w14:textId="5CA50733" w:rsidR="00FF3B71" w:rsidRPr="00E87067" w:rsidRDefault="00FF3B71" w:rsidP="007528C7">
      <w:pPr>
        <w:pStyle w:val="BodyTextIndent3"/>
        <w:ind w:left="0"/>
      </w:pPr>
      <w:r w:rsidRPr="00E87067">
        <w:t xml:space="preserve">For protocols that require a prescription or medication prescribing order prior to the dispensing of </w:t>
      </w:r>
      <w:r w:rsidR="009B3AA1">
        <w:t>investigational</w:t>
      </w:r>
      <w:r w:rsidRPr="00E87067">
        <w:t xml:space="preserve"> product, the following requirements or elements must be included or considered:</w:t>
      </w:r>
    </w:p>
    <w:p w14:paraId="447F5C64" w14:textId="6571842B" w:rsidR="00FF3B71" w:rsidRPr="00E87067" w:rsidRDefault="00FF3B71" w:rsidP="007528C7">
      <w:pPr>
        <w:pStyle w:val="ListParagraph2"/>
      </w:pPr>
      <w:r w:rsidRPr="00E87067">
        <w:t xml:space="preserve">By signing the Form FDA 1572 or IOR Form, the PI has certified that the </w:t>
      </w:r>
      <w:r w:rsidR="009B3AA1">
        <w:t>investigational</w:t>
      </w:r>
      <w:r w:rsidRPr="00E87067">
        <w:t xml:space="preserve"> product will be administered only to subjects under his/her personal supervision or under the supervision of sub-investigators responsible to him/her</w:t>
      </w:r>
    </w:p>
    <w:p w14:paraId="07556F04" w14:textId="7F4E25DE" w:rsidR="00FF3B71" w:rsidRPr="00E87067" w:rsidRDefault="00FF3B71" w:rsidP="007528C7">
      <w:pPr>
        <w:pStyle w:val="ListParagraph2"/>
      </w:pPr>
      <w:r w:rsidRPr="00E87067">
        <w:t xml:space="preserve">The Research Pharmacist must receive a prescription or medication prescribing order signed by an authorized prescriber (see definition for authorized prescriber) prior to dispensing </w:t>
      </w:r>
      <w:r w:rsidR="009B3AA1">
        <w:t>investigational</w:t>
      </w:r>
      <w:r w:rsidRPr="00E87067">
        <w:t xml:space="preserve"> product</w:t>
      </w:r>
    </w:p>
    <w:p w14:paraId="0CA232AA" w14:textId="5E3EF373" w:rsidR="00FF3B71" w:rsidRPr="00E87067" w:rsidRDefault="00FF3B71" w:rsidP="007528C7">
      <w:pPr>
        <w:pStyle w:val="ListParagraph2"/>
      </w:pPr>
      <w:r w:rsidRPr="00E87067">
        <w:t>Prescriptions or prescribing orders must be handwritten with dark ink, typed, or computer generated</w:t>
      </w:r>
    </w:p>
    <w:p w14:paraId="1C1BDC81" w14:textId="3209AAD0" w:rsidR="00FF3B71" w:rsidRPr="00E87067" w:rsidRDefault="00FF3B71" w:rsidP="007528C7">
      <w:pPr>
        <w:pStyle w:val="ListParagraph2"/>
      </w:pPr>
      <w:r w:rsidRPr="00E87067">
        <w:t xml:space="preserve">Signatures on the prescriptions or prescribing orders are to be </w:t>
      </w:r>
      <w:r w:rsidR="007C18D9" w:rsidRPr="00E87067">
        <w:t>handwritten</w:t>
      </w:r>
      <w:r w:rsidRPr="00E87067">
        <w:t xml:space="preserve"> or electronically signed. Signature stamps are not permitted</w:t>
      </w:r>
    </w:p>
    <w:p w14:paraId="0071A5AD" w14:textId="37EABEB6" w:rsidR="00FF3B71" w:rsidRPr="00E87067" w:rsidRDefault="00FF3B71" w:rsidP="007528C7">
      <w:pPr>
        <w:pStyle w:val="ListParagraph2"/>
      </w:pPr>
      <w:r w:rsidRPr="00E87067">
        <w:t>Signing blank prescriptions or prescribing order forms is not permitted</w:t>
      </w:r>
    </w:p>
    <w:p w14:paraId="0D4F0174" w14:textId="22C2F8AE" w:rsidR="00FF3B71" w:rsidRPr="00E87067" w:rsidRDefault="00FF3B71" w:rsidP="007528C7">
      <w:pPr>
        <w:pStyle w:val="ListParagraph2"/>
      </w:pPr>
      <w:r w:rsidRPr="00E87067">
        <w:t>It is not permitted for an individual who is not an authorized prescriber to sign a prescription or prescribing order with an authorized prescriber’s name and then add her/his own name to make it legal.  For example, study staff may not sign a physician’s name to a prescription and then add her/his name to it if s/he is not an authorized prescriber</w:t>
      </w:r>
    </w:p>
    <w:p w14:paraId="708F092B" w14:textId="08DC4118" w:rsidR="00FF3B71" w:rsidRPr="00E87067" w:rsidRDefault="00FF3B71" w:rsidP="007528C7">
      <w:pPr>
        <w:pStyle w:val="ListParagraph2"/>
      </w:pPr>
      <w:r w:rsidRPr="00E87067">
        <w:lastRenderedPageBreak/>
        <w:t>Post-dated prescriptions or prescribing orders are not permitted. For example, it is not acceptable for a prescription written in January to have a February date</w:t>
      </w:r>
    </w:p>
    <w:p w14:paraId="042AE78F" w14:textId="04B9F3FD" w:rsidR="00FF3B71" w:rsidRPr="00E87067" w:rsidRDefault="00FF3B71" w:rsidP="007528C7">
      <w:pPr>
        <w:pStyle w:val="ListParagraph2"/>
      </w:pPr>
      <w:r w:rsidRPr="00E87067">
        <w:t>An authorized prescriber must sign the prescription or prescribing order before sending it to the research pharmacy</w:t>
      </w:r>
    </w:p>
    <w:p w14:paraId="51AF2E43" w14:textId="4FC0A1DB" w:rsidR="00FF3B71" w:rsidRPr="00E87067" w:rsidRDefault="00FF3B71" w:rsidP="007528C7">
      <w:pPr>
        <w:pStyle w:val="ListParagraph2"/>
      </w:pPr>
      <w:r w:rsidRPr="00E87067">
        <w:t xml:space="preserve">Study staff may prepare electronically or hand-written prescriptions in advance for an authorized prescriber to review and sign; however, no </w:t>
      </w:r>
      <w:r w:rsidR="009B3AA1">
        <w:t>investigational</w:t>
      </w:r>
      <w:r w:rsidRPr="00E87067">
        <w:t xml:space="preserve"> product should be dispensed until after the Research Pharmacist receives the signed prescription</w:t>
      </w:r>
    </w:p>
    <w:p w14:paraId="488E9ED3" w14:textId="4AE01F63" w:rsidR="00FF3B71" w:rsidRPr="00E87067" w:rsidRDefault="00FF3B71" w:rsidP="007528C7">
      <w:pPr>
        <w:pStyle w:val="ListParagraph2"/>
      </w:pPr>
      <w:r w:rsidRPr="00E87067">
        <w:t>The authorized prescriber is responsible for ensuring that the prescription or prescribing order is written in accordance with all essential aspects of the protocol and local laws and regulations</w:t>
      </w:r>
    </w:p>
    <w:p w14:paraId="38FF3636" w14:textId="77777777" w:rsidR="00FF3B71" w:rsidRPr="00E87067" w:rsidRDefault="00FF3B71" w:rsidP="007528C7">
      <w:pPr>
        <w:pStyle w:val="ListParagraph2"/>
      </w:pPr>
      <w:r w:rsidRPr="00E87067">
        <w:t>Prescriptions or prescribing orders should include, but are not limited to the following:</w:t>
      </w:r>
    </w:p>
    <w:p w14:paraId="047CD922" w14:textId="77777777" w:rsidR="00FF3B71" w:rsidRPr="00E87067" w:rsidRDefault="00FF3B71" w:rsidP="00F05E51">
      <w:pPr>
        <w:pStyle w:val="ListParagraph2"/>
        <w:numPr>
          <w:ilvl w:val="0"/>
          <w:numId w:val="64"/>
        </w:numPr>
        <w:ind w:left="1080"/>
      </w:pPr>
      <w:r w:rsidRPr="00E87067">
        <w:t>Subject name (or initials)</w:t>
      </w:r>
    </w:p>
    <w:p w14:paraId="2FF20051" w14:textId="77777777" w:rsidR="00FF3B71" w:rsidRPr="00E87067" w:rsidRDefault="00FF3B71" w:rsidP="00F05E51">
      <w:pPr>
        <w:pStyle w:val="ListParagraph2"/>
        <w:numPr>
          <w:ilvl w:val="0"/>
          <w:numId w:val="64"/>
        </w:numPr>
        <w:ind w:left="1080"/>
      </w:pPr>
      <w:r w:rsidRPr="00E87067">
        <w:t>Protocol number</w:t>
      </w:r>
    </w:p>
    <w:p w14:paraId="744E32D1" w14:textId="77777777" w:rsidR="00FF3B71" w:rsidRPr="00E87067" w:rsidRDefault="00FF3B71" w:rsidP="00F05E51">
      <w:pPr>
        <w:pStyle w:val="ListParagraph2"/>
        <w:numPr>
          <w:ilvl w:val="0"/>
          <w:numId w:val="64"/>
        </w:numPr>
        <w:ind w:left="1080"/>
      </w:pPr>
      <w:r w:rsidRPr="00E87067">
        <w:t>Subject identifier</w:t>
      </w:r>
    </w:p>
    <w:p w14:paraId="673CA007" w14:textId="77777777" w:rsidR="00FF3B71" w:rsidRPr="00E87067" w:rsidRDefault="00FF3B71" w:rsidP="00F05E51">
      <w:pPr>
        <w:pStyle w:val="ListParagraph2"/>
        <w:numPr>
          <w:ilvl w:val="0"/>
          <w:numId w:val="64"/>
        </w:numPr>
        <w:ind w:left="1080"/>
      </w:pPr>
      <w:r w:rsidRPr="00E87067">
        <w:t>Randomization number or treatment assignment (for blinded studies, blinding must be maintained)</w:t>
      </w:r>
    </w:p>
    <w:p w14:paraId="34164075" w14:textId="54A750F3" w:rsidR="00FF3B71" w:rsidRPr="00E87067" w:rsidRDefault="009B3AA1" w:rsidP="00F05E51">
      <w:pPr>
        <w:pStyle w:val="ListParagraph2"/>
        <w:numPr>
          <w:ilvl w:val="0"/>
          <w:numId w:val="64"/>
        </w:numPr>
        <w:ind w:left="1080"/>
      </w:pPr>
      <w:r>
        <w:t>Investigational</w:t>
      </w:r>
      <w:r w:rsidR="00FF3B71" w:rsidRPr="00E87067">
        <w:t xml:space="preserve"> Product prescribed- name, dose, strength, formulation, route, or for blinded studies a protocol specific randomization code (if applicable)</w:t>
      </w:r>
    </w:p>
    <w:p w14:paraId="0AFD54EB" w14:textId="77777777" w:rsidR="00FF3B71" w:rsidRPr="00E87067" w:rsidRDefault="00FF3B71" w:rsidP="00F05E51">
      <w:pPr>
        <w:pStyle w:val="ListParagraph2"/>
        <w:numPr>
          <w:ilvl w:val="0"/>
          <w:numId w:val="64"/>
        </w:numPr>
        <w:ind w:left="1080"/>
      </w:pPr>
      <w:r w:rsidRPr="00E87067">
        <w:t>Quantity or instructions to indicate amount to be dispensed</w:t>
      </w:r>
    </w:p>
    <w:p w14:paraId="6E8C71DC" w14:textId="77777777" w:rsidR="00FF3B71" w:rsidRPr="00E87067" w:rsidRDefault="00FF3B71" w:rsidP="00F05E51">
      <w:pPr>
        <w:pStyle w:val="ListParagraph2"/>
        <w:numPr>
          <w:ilvl w:val="0"/>
          <w:numId w:val="64"/>
        </w:numPr>
        <w:ind w:left="1080"/>
      </w:pPr>
      <w:r w:rsidRPr="00E87067">
        <w:t>Body Surface Area (BSA) calculation or height and weight of subject (if applicable or required per protocol)</w:t>
      </w:r>
    </w:p>
    <w:p w14:paraId="177777B0" w14:textId="77777777" w:rsidR="00FF3B71" w:rsidRPr="00E87067" w:rsidRDefault="00FF3B71" w:rsidP="00F05E51">
      <w:pPr>
        <w:pStyle w:val="ListParagraph2"/>
        <w:numPr>
          <w:ilvl w:val="0"/>
          <w:numId w:val="64"/>
        </w:numPr>
        <w:ind w:left="1080"/>
      </w:pPr>
      <w:r w:rsidRPr="00E87067">
        <w:t>Directions for use</w:t>
      </w:r>
    </w:p>
    <w:p w14:paraId="2D3B3085" w14:textId="77777777" w:rsidR="00FF3B71" w:rsidRPr="00E87067" w:rsidRDefault="00FF3B71" w:rsidP="00F05E51">
      <w:pPr>
        <w:pStyle w:val="ListParagraph2"/>
        <w:numPr>
          <w:ilvl w:val="0"/>
          <w:numId w:val="64"/>
        </w:numPr>
        <w:ind w:left="1080"/>
      </w:pPr>
      <w:r w:rsidRPr="00E87067">
        <w:t>Authorized Prescriber’s signature</w:t>
      </w:r>
    </w:p>
    <w:p w14:paraId="554739BC" w14:textId="77777777" w:rsidR="00FF3B71" w:rsidRPr="00E87067" w:rsidRDefault="00FF3B71" w:rsidP="00F05E51">
      <w:pPr>
        <w:pStyle w:val="ListParagraph2"/>
        <w:numPr>
          <w:ilvl w:val="0"/>
          <w:numId w:val="64"/>
        </w:numPr>
        <w:ind w:left="1080"/>
      </w:pPr>
      <w:r w:rsidRPr="00E87067">
        <w:t>Date prescription is signed by an authorized prescriber</w:t>
      </w:r>
    </w:p>
    <w:p w14:paraId="219E96B9" w14:textId="340C6D13" w:rsidR="00FF3B71" w:rsidRPr="00E87067" w:rsidRDefault="00FF3B71" w:rsidP="00F05E51">
      <w:pPr>
        <w:pStyle w:val="ListParagraph2"/>
        <w:numPr>
          <w:ilvl w:val="0"/>
          <w:numId w:val="64"/>
        </w:numPr>
        <w:ind w:left="1080"/>
      </w:pPr>
      <w:r w:rsidRPr="00E87067">
        <w:t>Any special instructions (e.</w:t>
      </w:r>
      <w:r w:rsidR="002B25D0">
        <w:t>g.</w:t>
      </w:r>
      <w:r w:rsidRPr="00E87067">
        <w:t>, dose reduction, dose escalation)</w:t>
      </w:r>
    </w:p>
    <w:p w14:paraId="5C090907" w14:textId="606916E5" w:rsidR="00FF3B71" w:rsidRPr="00E87067" w:rsidRDefault="009B3AA1" w:rsidP="007528C7">
      <w:pPr>
        <w:pStyle w:val="Heading3b"/>
      </w:pPr>
      <w:bookmarkStart w:id="157" w:name="_Toc22044490"/>
      <w:bookmarkStart w:id="158" w:name="_Toc22044574"/>
      <w:bookmarkStart w:id="159" w:name="_Toc25150819"/>
      <w:bookmarkStart w:id="160" w:name="_Toc25151425"/>
      <w:bookmarkStart w:id="161" w:name="6.2_Study_Product_Preparation"/>
      <w:bookmarkStart w:id="162" w:name="_Toc25151426"/>
      <w:bookmarkEnd w:id="157"/>
      <w:bookmarkEnd w:id="158"/>
      <w:bookmarkEnd w:id="159"/>
      <w:bookmarkEnd w:id="160"/>
      <w:bookmarkEnd w:id="161"/>
      <w:r>
        <w:t>Investigational</w:t>
      </w:r>
      <w:r w:rsidR="00FF3B71" w:rsidRPr="00E87067">
        <w:t xml:space="preserve"> Product Preparation</w:t>
      </w:r>
      <w:bookmarkEnd w:id="162"/>
    </w:p>
    <w:p w14:paraId="61AC38DE" w14:textId="77777777" w:rsidR="00FF3B71" w:rsidRPr="00E87067" w:rsidRDefault="00FF3B71" w:rsidP="007528C7">
      <w:pPr>
        <w:pStyle w:val="ListStyle3"/>
      </w:pPr>
      <w:bookmarkStart w:id="163" w:name="_Toc25151427"/>
      <w:r w:rsidRPr="00E87067">
        <w:t>Space and Equipment for Preparation</w:t>
      </w:r>
      <w:bookmarkEnd w:id="163"/>
    </w:p>
    <w:p w14:paraId="270E88FF" w14:textId="301EFA6B" w:rsidR="00FF3B71" w:rsidRPr="00E87067" w:rsidRDefault="00FF3B71" w:rsidP="007528C7">
      <w:pPr>
        <w:pStyle w:val="ListParagraph2"/>
        <w:ind w:left="1080"/>
      </w:pPr>
      <w:r w:rsidRPr="00E87067">
        <w:t xml:space="preserve">Appropriate space and equipment must be provided and used for </w:t>
      </w:r>
      <w:r w:rsidR="009B3AA1">
        <w:t>investigational</w:t>
      </w:r>
      <w:r w:rsidRPr="00E87067">
        <w:t xml:space="preserve"> product preparation as per section </w:t>
      </w:r>
      <w:r w:rsidR="0054322F">
        <w:fldChar w:fldCharType="begin"/>
      </w:r>
      <w:r w:rsidR="0054322F">
        <w:instrText xml:space="preserve"> REF _Ref207333926 \r \h </w:instrText>
      </w:r>
      <w:r w:rsidR="00853452">
        <w:instrText xml:space="preserve"> \* MERGEFORMAT </w:instrText>
      </w:r>
      <w:r w:rsidR="0054322F">
        <w:fldChar w:fldCharType="separate"/>
      </w:r>
      <w:r w:rsidR="0054322F">
        <w:t>4.1</w:t>
      </w:r>
      <w:r w:rsidR="0054322F">
        <w:fldChar w:fldCharType="end"/>
      </w:r>
    </w:p>
    <w:p w14:paraId="73AA6B23" w14:textId="6194D050" w:rsidR="00FF3B71" w:rsidRPr="00E87067" w:rsidRDefault="00FF3B71" w:rsidP="007528C7">
      <w:pPr>
        <w:pStyle w:val="ListParagraph2"/>
        <w:ind w:left="1080"/>
      </w:pPr>
      <w:r w:rsidRPr="00E87067">
        <w:t xml:space="preserve">The Research Pharmacist must ensure that there is sufficient stock of ancillary supplies for preparing and dispensing </w:t>
      </w:r>
      <w:r w:rsidR="009B3AA1">
        <w:t>investigational</w:t>
      </w:r>
      <w:r w:rsidRPr="00E87067">
        <w:t xml:space="preserve"> products</w:t>
      </w:r>
    </w:p>
    <w:p w14:paraId="6BDD0903" w14:textId="35E62E53" w:rsidR="00FF3B71" w:rsidRPr="00E87067" w:rsidRDefault="00FF3B71" w:rsidP="007528C7">
      <w:pPr>
        <w:pStyle w:val="ListParagraph2"/>
        <w:ind w:left="1080"/>
      </w:pPr>
      <w:r w:rsidRPr="00E87067">
        <w:t xml:space="preserve">Certain </w:t>
      </w:r>
      <w:r w:rsidR="009B3AA1">
        <w:t>investigational</w:t>
      </w:r>
      <w:r w:rsidRPr="00E87067">
        <w:t xml:space="preserve"> products may require preparation using aseptic technique, using a biological safety cabinet (BSC), aseptic isolator, or laminar air flow hood. Specific requirements will be included in the protocol or MOPs and must be reviewed for site equipment needs or training prior to receipt of </w:t>
      </w:r>
      <w:r w:rsidR="009B3AA1">
        <w:t>investigational</w:t>
      </w:r>
      <w:r w:rsidRPr="00E87067">
        <w:t xml:space="preserve"> product</w:t>
      </w:r>
    </w:p>
    <w:p w14:paraId="19AF9621" w14:textId="769BB8AC" w:rsidR="00FF3B71" w:rsidRPr="00E87067" w:rsidRDefault="00FF3B71" w:rsidP="007528C7">
      <w:pPr>
        <w:pStyle w:val="ListParagraph2"/>
        <w:ind w:left="1080"/>
      </w:pPr>
      <w:r w:rsidRPr="00E87067">
        <w:lastRenderedPageBreak/>
        <w:t>Every laminar air flow hood, BSC, and isolator must be maintained and evaluated for proper performance, in accordance with the manufacturer’s instructions</w:t>
      </w:r>
    </w:p>
    <w:p w14:paraId="001F21F8" w14:textId="77777777" w:rsidR="00FF3B71" w:rsidRPr="00E87067" w:rsidRDefault="00FF3B71" w:rsidP="007528C7">
      <w:pPr>
        <w:pStyle w:val="ListStyle3"/>
      </w:pPr>
      <w:bookmarkStart w:id="164" w:name="_Toc25151428"/>
      <w:r w:rsidRPr="00E87067">
        <w:t>Personnel Involved in Preparation</w:t>
      </w:r>
      <w:bookmarkEnd w:id="164"/>
    </w:p>
    <w:p w14:paraId="4566E07D" w14:textId="0873AA51" w:rsidR="00FF3B71" w:rsidRPr="00E87067" w:rsidRDefault="00FF3B71" w:rsidP="003C2459">
      <w:pPr>
        <w:pStyle w:val="ListParagraph"/>
        <w:numPr>
          <w:ilvl w:val="0"/>
          <w:numId w:val="66"/>
        </w:numPr>
        <w:ind w:left="1080"/>
      </w:pPr>
      <w:r w:rsidRPr="00E87067">
        <w:t xml:space="preserve">The DMID requires that compounding of </w:t>
      </w:r>
      <w:r w:rsidR="009B3AA1">
        <w:t>investigational</w:t>
      </w:r>
      <w:r w:rsidRPr="00E87067">
        <w:t xml:space="preserve"> product must be performed by or under the direct personal supervision of a licensed pharmacist (</w:t>
      </w:r>
      <w:r w:rsidR="00386E11" w:rsidRPr="00E87067">
        <w:t>e</w:t>
      </w:r>
      <w:r w:rsidR="00386E11">
        <w:t>.g.</w:t>
      </w:r>
      <w:r w:rsidRPr="00E87067">
        <w:t>, Research Pharmacist) and must be dispensed by a licensed pharmacist</w:t>
      </w:r>
    </w:p>
    <w:p w14:paraId="16BEFA80" w14:textId="160AB6BA" w:rsidR="00FF3B71" w:rsidRPr="00E87067" w:rsidRDefault="00FF3B71" w:rsidP="003C2459">
      <w:pPr>
        <w:pStyle w:val="ListParagraph2"/>
        <w:numPr>
          <w:ilvl w:val="0"/>
          <w:numId w:val="67"/>
        </w:numPr>
        <w:ind w:left="1440"/>
      </w:pPr>
      <w:r w:rsidRPr="00E87067">
        <w:t>Compounding is defined as the preparation, mixing, assembling, altering, packaging, and labeling of a drug, drug-delivery device, or device in accordance with a licensed practitioner’s prescription or medication order</w:t>
      </w:r>
    </w:p>
    <w:p w14:paraId="379CAF42" w14:textId="7F1D0E43" w:rsidR="00FF3B71" w:rsidRPr="00E87067" w:rsidRDefault="00FF3B71" w:rsidP="003C2459">
      <w:pPr>
        <w:pStyle w:val="ListParagraph2"/>
        <w:numPr>
          <w:ilvl w:val="0"/>
          <w:numId w:val="67"/>
        </w:numPr>
        <w:ind w:left="1440"/>
      </w:pPr>
      <w:r w:rsidRPr="00E87067">
        <w:t xml:space="preserve">Examples of compounding include, but are not limited to, reformulation of a drug, intravenous admixture preparation, manipulation of commercial products that may require the addition of one or more </w:t>
      </w:r>
      <w:r w:rsidR="00C41B1D" w:rsidRPr="00E87067">
        <w:t>ingredients or</w:t>
      </w:r>
      <w:r w:rsidRPr="00E87067">
        <w:t xml:space="preserve"> making a preparation that requires special calculations or procedures (such as calibration of dosage unit mold cavities) to determine quantities of components per preparation or per individualized dosage units</w:t>
      </w:r>
    </w:p>
    <w:p w14:paraId="10FC37A5" w14:textId="37BF474B" w:rsidR="00FF3B71" w:rsidRPr="00E87067" w:rsidRDefault="00FF3B71" w:rsidP="007528C7">
      <w:pPr>
        <w:pStyle w:val="ListParagraph2"/>
        <w:ind w:left="1080"/>
      </w:pPr>
      <w:r w:rsidRPr="00E87067">
        <w:t xml:space="preserve">In certain instances, due to site-specific logistics or </w:t>
      </w:r>
      <w:r w:rsidR="009B3AA1">
        <w:t>investigational</w:t>
      </w:r>
      <w:r w:rsidRPr="00E87067">
        <w:t xml:space="preserve"> product-specific characteristics (e.g., limited stability of product relative to distance of clinic), other authorized health care practitioners may be called upon for dose preparation of </w:t>
      </w:r>
      <w:r w:rsidR="009B3AA1">
        <w:t>investigational</w:t>
      </w:r>
      <w:r w:rsidRPr="00E87067">
        <w:t xml:space="preserve"> product immediately prior to administration to a subject.  A Site Research Pharmacist may be delegated the responsibility of </w:t>
      </w:r>
      <w:r w:rsidR="009B3AA1">
        <w:t>investigational</w:t>
      </w:r>
      <w:r w:rsidRPr="00E87067">
        <w:t xml:space="preserve"> product preparation and dispensation.  The Research Pharmacist must be a licensed, registered pharmacist and is the preferred healthcare practitioner to be delegated to perform this activity.  If the Research Pharmacist is not available, a physician, nurse practitioner, physician assistant, registered nurse, or other authorized healthcare practitioner, who is a member of the clinical study staff, may be delegated to prepare and dispense the </w:t>
      </w:r>
      <w:r w:rsidR="009B3AA1">
        <w:t>investigational</w:t>
      </w:r>
      <w:r w:rsidRPr="00E87067">
        <w:t xml:space="preserve"> product.  These personnel must be licensed, trained, and qualified to prepare investigational product and must be authorized to dispense the </w:t>
      </w:r>
      <w:r w:rsidR="009B3AA1">
        <w:t>investigational</w:t>
      </w:r>
      <w:r w:rsidRPr="00E87067">
        <w:t xml:space="preserve"> product under state and local rules and regulations</w:t>
      </w:r>
    </w:p>
    <w:p w14:paraId="36EF5F0D" w14:textId="01812927" w:rsidR="00FF3B71" w:rsidRPr="00E87067" w:rsidRDefault="00FF3B71" w:rsidP="007528C7">
      <w:pPr>
        <w:pStyle w:val="ListParagraph2"/>
        <w:ind w:left="1080"/>
      </w:pPr>
      <w:r w:rsidRPr="00E87067">
        <w:t xml:space="preserve">In these limited cases, the Research Pharmacist must prepare, label, and dispense the </w:t>
      </w:r>
      <w:r w:rsidR="009B3AA1">
        <w:t>investigational</w:t>
      </w:r>
      <w:r w:rsidRPr="00E87067">
        <w:t xml:space="preserve"> product, so that the prescribed dose may be obtained and administered by the authorized healthcare practitioner in accordance with the protocol or MOP</w:t>
      </w:r>
    </w:p>
    <w:p w14:paraId="181E52B6" w14:textId="23002475" w:rsidR="00FF3B71" w:rsidRPr="00E87067" w:rsidRDefault="00FF3B71" w:rsidP="007528C7">
      <w:pPr>
        <w:pStyle w:val="ListParagraph2"/>
        <w:ind w:left="1080"/>
      </w:pPr>
      <w:r w:rsidRPr="00E87067">
        <w:t>It is the responsibility of the PI to ensure all local jurisdiction and state rules or regulations comply with the procedures performed at the clinical site</w:t>
      </w:r>
    </w:p>
    <w:p w14:paraId="5E57D38D" w14:textId="57834EA1" w:rsidR="00FF3B71" w:rsidRPr="00E87067" w:rsidRDefault="00FF3B71" w:rsidP="007528C7">
      <w:pPr>
        <w:pStyle w:val="ListParagraph2"/>
        <w:ind w:left="1080"/>
      </w:pPr>
      <w:r w:rsidRPr="00E87067">
        <w:t>The Research Pharmacist must provide detailed instructions and training for the dose preparation to the authorized healthcare practitioner and documentation of this training should be maintained in the site pharmacy files. In addition, SOPs to address site-specific processes, procedures, and preparation documentation must also be developed</w:t>
      </w:r>
    </w:p>
    <w:p w14:paraId="6A5BB458" w14:textId="16FA14B9" w:rsidR="00FF3B71" w:rsidRPr="00E87067" w:rsidRDefault="00FF3B71" w:rsidP="007528C7">
      <w:pPr>
        <w:pStyle w:val="ListParagraph2"/>
        <w:ind w:left="1080"/>
      </w:pPr>
      <w:r w:rsidRPr="00E87067">
        <w:t>For</w:t>
      </w:r>
      <w:r w:rsidR="00A7497C">
        <w:t xml:space="preserve"> the</w:t>
      </w:r>
      <w:r w:rsidRPr="00E87067">
        <w:t xml:space="preserve"> DMID protocols, where a</w:t>
      </w:r>
      <w:r w:rsidR="00B7743C">
        <w:t>n</w:t>
      </w:r>
      <w:r w:rsidRPr="00E87067">
        <w:t xml:space="preserve"> </w:t>
      </w:r>
      <w:r w:rsidR="009B3AA1">
        <w:t>investigational</w:t>
      </w:r>
      <w:r w:rsidRPr="00E87067">
        <w:t xml:space="preserve"> product requires only a </w:t>
      </w:r>
      <w:r w:rsidRPr="003C2459">
        <w:rPr>
          <w:i/>
        </w:rPr>
        <w:t>single level or one step of non-compounding manipulation</w:t>
      </w:r>
      <w:r w:rsidRPr="00E87067">
        <w:t xml:space="preserve"> (e.g., simple reconstitution of lyophilized vaccine, thawing of frozen product for immediate administration), an authorized health care practitioner may be called upon to prepare </w:t>
      </w:r>
      <w:r w:rsidR="009B3AA1">
        <w:t>investigational</w:t>
      </w:r>
      <w:r w:rsidRPr="00E87067">
        <w:t xml:space="preserve"> product immediately prior to administration to a subject</w:t>
      </w:r>
    </w:p>
    <w:p w14:paraId="5B2271ED" w14:textId="314BE49B" w:rsidR="00FF3B71" w:rsidRPr="00E87067" w:rsidRDefault="00FF3B71" w:rsidP="003C2459">
      <w:pPr>
        <w:pStyle w:val="ListParagraph2"/>
        <w:numPr>
          <w:ilvl w:val="0"/>
          <w:numId w:val="70"/>
        </w:numPr>
        <w:ind w:left="1440"/>
      </w:pPr>
      <w:r w:rsidRPr="00E87067">
        <w:lastRenderedPageBreak/>
        <w:t xml:space="preserve">In these instances, the Research Pharmacist must first label and dispense the </w:t>
      </w:r>
      <w:r w:rsidR="009B3AA1">
        <w:t>investigational</w:t>
      </w:r>
      <w:r w:rsidRPr="00E87067">
        <w:t xml:space="preserve"> product to the authorized health care practitioner. The </w:t>
      </w:r>
      <w:r w:rsidR="009B3AA1">
        <w:t>investigational</w:t>
      </w:r>
      <w:r w:rsidRPr="00E87067">
        <w:t xml:space="preserve"> product may then be prepared by the authorized healthcare practitioner in accordance with the protocol or MOP</w:t>
      </w:r>
    </w:p>
    <w:p w14:paraId="537988C2" w14:textId="16BD3FDB" w:rsidR="00FF3B71" w:rsidRPr="00E87067" w:rsidRDefault="00FF3B71" w:rsidP="003C2459">
      <w:pPr>
        <w:pStyle w:val="ListParagraph2"/>
        <w:numPr>
          <w:ilvl w:val="0"/>
          <w:numId w:val="70"/>
        </w:numPr>
        <w:ind w:left="1440"/>
      </w:pPr>
      <w:r w:rsidRPr="00E87067">
        <w:t>It is the responsibility of the PI to ensure all local jurisdiction and state rules or regulations comply with the procedures performed at the clinical site</w:t>
      </w:r>
    </w:p>
    <w:p w14:paraId="6EA553CB" w14:textId="4B647AAB" w:rsidR="00FF3B71" w:rsidRPr="00E87067" w:rsidRDefault="00FF3B71" w:rsidP="003C2459">
      <w:pPr>
        <w:pStyle w:val="ListParagraph2"/>
        <w:numPr>
          <w:ilvl w:val="0"/>
          <w:numId w:val="70"/>
        </w:numPr>
        <w:ind w:left="1440"/>
      </w:pPr>
      <w:r w:rsidRPr="00E87067">
        <w:t xml:space="preserve">The Research Pharmacist must provide detailed instructions and training for </w:t>
      </w:r>
      <w:r w:rsidR="009B3AA1">
        <w:t>investigational</w:t>
      </w:r>
      <w:r w:rsidRPr="00E87067">
        <w:t xml:space="preserve"> product preparation to the authorized health care practitioner and documentation of this training should be maintained in the site pharmacy</w:t>
      </w:r>
      <w:r w:rsidR="003C2459">
        <w:t xml:space="preserve"> </w:t>
      </w:r>
      <w:r w:rsidRPr="00E87067">
        <w:t>files. In addition, SOPs to address site-specific processes, procedures, and preparation documentation must also be developed</w:t>
      </w:r>
    </w:p>
    <w:p w14:paraId="578C8310" w14:textId="1EEA0C2B" w:rsidR="00FF3B71" w:rsidRPr="00E87067" w:rsidRDefault="00FF3B71" w:rsidP="003C2459">
      <w:pPr>
        <w:pStyle w:val="ListParagraph"/>
        <w:numPr>
          <w:ilvl w:val="0"/>
          <w:numId w:val="71"/>
        </w:numPr>
        <w:ind w:left="1080"/>
      </w:pPr>
      <w:r w:rsidRPr="00E87067">
        <w:t>Names of any personnel or authorized health care practitioners aiding in the preparation of a</w:t>
      </w:r>
      <w:r w:rsidR="00671F7C">
        <w:t>n</w:t>
      </w:r>
      <w:r w:rsidRPr="00E87067">
        <w:t xml:space="preserve"> </w:t>
      </w:r>
      <w:r w:rsidR="009B3AA1">
        <w:t>investigational</w:t>
      </w:r>
      <w:r w:rsidRPr="00E87067">
        <w:t xml:space="preserve"> product must be documented</w:t>
      </w:r>
    </w:p>
    <w:p w14:paraId="448CE171" w14:textId="77777777" w:rsidR="00FF3B71" w:rsidRPr="00E87067" w:rsidRDefault="00FF3B71" w:rsidP="007528C7">
      <w:pPr>
        <w:pStyle w:val="ListStyle3"/>
      </w:pPr>
      <w:bookmarkStart w:id="165" w:name="_Toc25151429"/>
      <w:r w:rsidRPr="00E87067">
        <w:t>Preparation Procedures</w:t>
      </w:r>
      <w:bookmarkEnd w:id="165"/>
    </w:p>
    <w:p w14:paraId="6BB183B7" w14:textId="76CA0960" w:rsidR="00FF3B71" w:rsidRPr="00E87067" w:rsidRDefault="00FF3B71" w:rsidP="007528C7">
      <w:pPr>
        <w:pStyle w:val="ListParagraph2"/>
        <w:ind w:left="1080"/>
      </w:pPr>
      <w:r w:rsidRPr="00E87067">
        <w:t>Products requiring reconstitution, dilution, or mixing under conditions defined in the protocol or MOP should be prepared in compliance with local and state requirements, and institutional procedures</w:t>
      </w:r>
    </w:p>
    <w:p w14:paraId="1416F141" w14:textId="2A62AC29" w:rsidR="00FF3B71" w:rsidRPr="00E87067" w:rsidRDefault="00FF3B71" w:rsidP="007528C7">
      <w:pPr>
        <w:pStyle w:val="ListParagraph2"/>
        <w:ind w:left="1080"/>
      </w:pPr>
      <w:r w:rsidRPr="00E87067">
        <w:t xml:space="preserve">Preparation instructions for </w:t>
      </w:r>
      <w:r w:rsidR="009B3AA1">
        <w:t>investigational</w:t>
      </w:r>
      <w:r w:rsidRPr="00E87067">
        <w:t xml:space="preserve"> products are outlined in the protocol and in additional accompanying documents, such as a MOP document</w:t>
      </w:r>
    </w:p>
    <w:p w14:paraId="4F320222" w14:textId="50FF2E0C" w:rsidR="00FF3B71" w:rsidRPr="00E87067" w:rsidRDefault="00FF3B71" w:rsidP="007528C7">
      <w:pPr>
        <w:pStyle w:val="ListParagraph2"/>
        <w:ind w:left="1080"/>
      </w:pPr>
      <w:r w:rsidRPr="00E87067">
        <w:t xml:space="preserve">The Research Pharmacist must document that </w:t>
      </w:r>
      <w:r w:rsidR="009B3AA1">
        <w:t>investigational</w:t>
      </w:r>
      <w:r w:rsidRPr="00E87067">
        <w:t xml:space="preserve"> products were prepared correctly. This includes documenting all products used or added during preparation, amounts that are added or removed from the final product, temperature ranges and critical time points maintained, as applicable</w:t>
      </w:r>
    </w:p>
    <w:p w14:paraId="4C88C30B" w14:textId="0ED8F78D" w:rsidR="00FF3B71" w:rsidRPr="00E87067" w:rsidRDefault="00FF3B71" w:rsidP="007528C7">
      <w:pPr>
        <w:pStyle w:val="ListParagraph2"/>
        <w:ind w:left="1080"/>
      </w:pPr>
      <w:r w:rsidRPr="00E87067">
        <w:t>If applicable, a separate compounding form may be used to document the preparation procedure</w:t>
      </w:r>
    </w:p>
    <w:p w14:paraId="35AF5E07" w14:textId="349D85CF" w:rsidR="00FF3B71" w:rsidRPr="00E87067" w:rsidRDefault="00FF3B71" w:rsidP="007528C7">
      <w:pPr>
        <w:pStyle w:val="ListParagraph2"/>
        <w:ind w:left="1080"/>
      </w:pPr>
      <w:r w:rsidRPr="00E87067">
        <w:t>Preparation review and verification by the Research Pharmacist must be documented with the Research Pharmacist’s initials prior to dispensation</w:t>
      </w:r>
    </w:p>
    <w:p w14:paraId="23B71500" w14:textId="433DEFA5" w:rsidR="00FF3B71" w:rsidRPr="00E87067" w:rsidRDefault="00FF3B71" w:rsidP="007528C7">
      <w:pPr>
        <w:pStyle w:val="ListParagraph2"/>
        <w:ind w:left="1080"/>
      </w:pPr>
      <w:r w:rsidRPr="00E87067">
        <w:t>Any issues or errors with product preparation, including improper mixing, treatment assignment errors, etc. should be immediately reported to the PI,</w:t>
      </w:r>
      <w:r w:rsidR="00FC0998">
        <w:t xml:space="preserve"> the</w:t>
      </w:r>
      <w:r w:rsidRPr="00E87067">
        <w:t xml:space="preserve"> DMID, as directed by the protocol or MOP, and the PST. If an issue or error occurs in a blinded study, the Research Pharmacist must maintain blinding during discussions with the investigator or other individuals who may be blinded to treatment assignment (see section </w:t>
      </w:r>
      <w:r w:rsidR="00ED6A0D">
        <w:fldChar w:fldCharType="begin"/>
      </w:r>
      <w:r w:rsidR="00ED6A0D">
        <w:instrText xml:space="preserve"> REF _Ref207334010 \r \h </w:instrText>
      </w:r>
      <w:r w:rsidR="00853452">
        <w:instrText xml:space="preserve"> \* MERGEFORMAT </w:instrText>
      </w:r>
      <w:r w:rsidR="00ED6A0D">
        <w:fldChar w:fldCharType="separate"/>
      </w:r>
      <w:r w:rsidR="00ED6A0D">
        <w:t>7</w:t>
      </w:r>
      <w:r w:rsidR="00ED6A0D">
        <w:fldChar w:fldCharType="end"/>
      </w:r>
      <w:r w:rsidRPr="00E87067">
        <w:t>)</w:t>
      </w:r>
    </w:p>
    <w:p w14:paraId="41AD6E67" w14:textId="77777777" w:rsidR="00FF3B71" w:rsidRPr="00E87067" w:rsidRDefault="00FF3B71" w:rsidP="007528C7">
      <w:pPr>
        <w:pStyle w:val="Heading3b"/>
      </w:pPr>
      <w:bookmarkStart w:id="166" w:name="_Toc22044495"/>
      <w:bookmarkStart w:id="167" w:name="_Toc22044579"/>
      <w:bookmarkStart w:id="168" w:name="_Toc25150824"/>
      <w:bookmarkStart w:id="169" w:name="_Toc25151430"/>
      <w:bookmarkStart w:id="170" w:name="6.3_Labeling_Requirements"/>
      <w:bookmarkStart w:id="171" w:name="_Toc25151431"/>
      <w:bookmarkEnd w:id="166"/>
      <w:bookmarkEnd w:id="167"/>
      <w:bookmarkEnd w:id="168"/>
      <w:bookmarkEnd w:id="169"/>
      <w:bookmarkEnd w:id="170"/>
      <w:r>
        <w:t>Labeling Requirements</w:t>
      </w:r>
      <w:bookmarkEnd w:id="171"/>
    </w:p>
    <w:p w14:paraId="3571313F" w14:textId="3F60DF1D" w:rsidR="00FF3B71" w:rsidRPr="00E87067" w:rsidRDefault="2D4AD2B5" w:rsidP="007528C7">
      <w:pPr>
        <w:pStyle w:val="ListParagraph2"/>
      </w:pPr>
      <w:r>
        <w:t xml:space="preserve">The Research Pharmacist must </w:t>
      </w:r>
      <w:r w:rsidR="0A84D585">
        <w:t xml:space="preserve">label </w:t>
      </w:r>
      <w:r>
        <w:t xml:space="preserve">all </w:t>
      </w:r>
      <w:r w:rsidR="00882096">
        <w:t xml:space="preserve">prepared </w:t>
      </w:r>
      <w:r>
        <w:t xml:space="preserve">investigational </w:t>
      </w:r>
      <w:r w:rsidR="22EE2AEA">
        <w:t>product</w:t>
      </w:r>
      <w:r w:rsidR="00882096">
        <w:t xml:space="preserve"> doses</w:t>
      </w:r>
      <w:r>
        <w:t xml:space="preserve"> </w:t>
      </w:r>
      <w:r w:rsidR="00592638" w:rsidRPr="00592638">
        <w:t>(e.g., use of mixing vials or drawn into syringes)</w:t>
      </w:r>
      <w:r w:rsidR="00592638">
        <w:t xml:space="preserve"> </w:t>
      </w:r>
      <w:r>
        <w:t xml:space="preserve">appropriately to </w:t>
      </w:r>
      <w:r w:rsidR="32C39F27">
        <w:t xml:space="preserve">ensure safe administration by a clinician or use by study participants. </w:t>
      </w:r>
      <w:r w:rsidR="00FF3B71">
        <w:t xml:space="preserve">Labeling must comply with </w:t>
      </w:r>
      <w:r w:rsidR="2A1A9C89">
        <w:t xml:space="preserve">all </w:t>
      </w:r>
      <w:r w:rsidR="00FF3B71">
        <w:t>local, state and in-country regulations and requirements</w:t>
      </w:r>
    </w:p>
    <w:p w14:paraId="527B10D5" w14:textId="1FFC9AE4" w:rsidR="00FF3B71" w:rsidRDefault="00FF3B71" w:rsidP="007528C7">
      <w:pPr>
        <w:pStyle w:val="ListParagraph2"/>
      </w:pPr>
      <w:r w:rsidRPr="00E87067">
        <w:lastRenderedPageBreak/>
        <w:t xml:space="preserve">If the </w:t>
      </w:r>
      <w:r w:rsidR="00D42B05">
        <w:t>Unused</w:t>
      </w:r>
      <w:r w:rsidR="00225005">
        <w:t xml:space="preserve"> </w:t>
      </w:r>
      <w:r w:rsidR="00E054F7">
        <w:t>investigational product</w:t>
      </w:r>
      <w:r w:rsidR="00E054F7" w:rsidRPr="00E87067">
        <w:t xml:space="preserve"> </w:t>
      </w:r>
      <w:r w:rsidRPr="00E87067">
        <w:t>is further manipulated (e.g., use of mixing vials or drawn into syringes), the protocol or MOP must be followed for additional labeling instructions</w:t>
      </w:r>
      <w:r w:rsidR="00BC42A4">
        <w:t xml:space="preserve"> (</w:t>
      </w:r>
      <w:r w:rsidR="00E3294E">
        <w:t xml:space="preserve">reference the DMID </w:t>
      </w:r>
      <w:r w:rsidR="0008781F">
        <w:t>Investigational Product Label Requirements</w:t>
      </w:r>
      <w:r w:rsidR="008B6DCB">
        <w:t xml:space="preserve"> for </w:t>
      </w:r>
      <w:r w:rsidR="00784147">
        <w:t>labeling of immediate</w:t>
      </w:r>
      <w:r w:rsidR="00CC4065">
        <w:t xml:space="preserve"> package of an investigational new drug</w:t>
      </w:r>
      <w:r w:rsidR="006755D6">
        <w:t>)</w:t>
      </w:r>
      <w:r w:rsidR="00277541">
        <w:t xml:space="preserve">: </w:t>
      </w:r>
      <w:r w:rsidR="00AE53C8">
        <w:t xml:space="preserve"> </w:t>
      </w:r>
    </w:p>
    <w:p w14:paraId="190E8A29" w14:textId="2BE0EFA8" w:rsidR="00572A0D" w:rsidRDefault="00572A0D" w:rsidP="007528C7">
      <w:pPr>
        <w:pStyle w:val="ListParagraph2"/>
      </w:pPr>
      <w:hyperlink r:id="rId15" w:history="1">
        <w:r w:rsidRPr="000A1D8C">
          <w:rPr>
            <w:rStyle w:val="Hyperlink"/>
          </w:rPr>
          <w:t>https://www.dmidcroms.com/Shared%20Documents/DMID%20Investigational%20Product%20Label%20Requirements.pdf</w:t>
        </w:r>
      </w:hyperlink>
    </w:p>
    <w:p w14:paraId="2D7671F9" w14:textId="3DCDEE1E" w:rsidR="00FF3B71" w:rsidRPr="00E87067" w:rsidRDefault="00F023BD" w:rsidP="007528C7">
      <w:pPr>
        <w:pStyle w:val="ListParagraph2"/>
      </w:pPr>
      <w:r>
        <w:t xml:space="preserve">For blinded studies, labels must be prepared in a manner that maintains the blinding of the </w:t>
      </w:r>
      <w:r w:rsidR="009B3AA1">
        <w:t>investigational</w:t>
      </w:r>
      <w:r>
        <w:t xml:space="preserve"> </w:t>
      </w:r>
      <w:r w:rsidR="00042492">
        <w:t>product</w:t>
      </w:r>
      <w:r w:rsidR="00C103B7">
        <w:t>.</w:t>
      </w:r>
    </w:p>
    <w:p w14:paraId="5FD11D9A" w14:textId="2B6683DA" w:rsidR="00FF3B71" w:rsidRPr="00E87067" w:rsidRDefault="009B3AA1" w:rsidP="007528C7">
      <w:pPr>
        <w:pStyle w:val="Heading3b"/>
      </w:pPr>
      <w:bookmarkStart w:id="172" w:name="_Toc22044497"/>
      <w:bookmarkStart w:id="173" w:name="_Toc22044581"/>
      <w:bookmarkStart w:id="174" w:name="_Toc25150826"/>
      <w:bookmarkStart w:id="175" w:name="_Toc25151432"/>
      <w:bookmarkStart w:id="176" w:name="6.4_Study_Product_Administration"/>
      <w:bookmarkStart w:id="177" w:name="_Toc25151433"/>
      <w:bookmarkEnd w:id="172"/>
      <w:bookmarkEnd w:id="173"/>
      <w:bookmarkEnd w:id="174"/>
      <w:bookmarkEnd w:id="175"/>
      <w:bookmarkEnd w:id="176"/>
      <w:r>
        <w:t>Investigational</w:t>
      </w:r>
      <w:r w:rsidR="00FF3B71" w:rsidRPr="00E87067">
        <w:t xml:space="preserve"> Product </w:t>
      </w:r>
      <w:r w:rsidR="00CC3E8D">
        <w:t xml:space="preserve">Dispensing and </w:t>
      </w:r>
      <w:r w:rsidR="00FF3B71" w:rsidRPr="00E87067">
        <w:t>Administration</w:t>
      </w:r>
      <w:bookmarkEnd w:id="177"/>
    </w:p>
    <w:p w14:paraId="2CA44AE2" w14:textId="77777777" w:rsidR="00CC3E8D" w:rsidRDefault="00CC3E8D" w:rsidP="00CC3E8D">
      <w:pPr>
        <w:pStyle w:val="ListParagraph"/>
        <w:numPr>
          <w:ilvl w:val="0"/>
          <w:numId w:val="74"/>
        </w:numPr>
      </w:pPr>
      <w:r>
        <w:t>Double-check Process Requirement Description:</w:t>
      </w:r>
    </w:p>
    <w:p w14:paraId="35D99658" w14:textId="4744C01E" w:rsidR="00CC3E8D" w:rsidRDefault="00CC3E8D" w:rsidP="00CC3E8D">
      <w:pPr>
        <w:ind w:left="720"/>
      </w:pPr>
      <w:r>
        <w:t xml:space="preserve">Upon dispensing of </w:t>
      </w:r>
      <w:r w:rsidR="009B3AA1">
        <w:t>investigational</w:t>
      </w:r>
      <w:r>
        <w:t xml:space="preserve"> product by the site Research Pharmacist to the clinic or location where </w:t>
      </w:r>
      <w:r w:rsidR="009B3AA1">
        <w:t>investigational</w:t>
      </w:r>
      <w:r>
        <w:t xml:space="preserve"> product administration will occur and prior to </w:t>
      </w:r>
      <w:r w:rsidR="009B3AA1">
        <w:t>investigational</w:t>
      </w:r>
      <w:r>
        <w:t xml:space="preserve"> product administration, a “double-check” of the dispensed </w:t>
      </w:r>
      <w:r w:rsidR="009B3AA1">
        <w:t>investigational</w:t>
      </w:r>
      <w:r>
        <w:t xml:space="preserve"> product must be performed.    The ‘double-check’ required is performed by an individual licensed to administer drugs before the </w:t>
      </w:r>
      <w:r w:rsidR="009B3AA1">
        <w:t>investigational</w:t>
      </w:r>
      <w:r>
        <w:t xml:space="preserve"> product is administered.  This individual must also be appropriately qualified by training, licensure and registration to perform this function</w:t>
      </w:r>
    </w:p>
    <w:p w14:paraId="77698A6D" w14:textId="77777777" w:rsidR="00CC3E8D" w:rsidRDefault="00CC3E8D" w:rsidP="00CC3E8D">
      <w:pPr>
        <w:ind w:left="720"/>
      </w:pPr>
      <w:r>
        <w:t>This ‘double-check’ is exemplified as follows:</w:t>
      </w:r>
    </w:p>
    <w:p w14:paraId="26F07D59" w14:textId="0A28C820" w:rsidR="00CC3E8D" w:rsidRDefault="00CC3E8D" w:rsidP="007528C7">
      <w:pPr>
        <w:pStyle w:val="ListParagraph2"/>
        <w:numPr>
          <w:ilvl w:val="1"/>
          <w:numId w:val="119"/>
        </w:numPr>
        <w:ind w:left="1080"/>
      </w:pPr>
      <w:r>
        <w:t xml:space="preserve">In </w:t>
      </w:r>
      <w:r w:rsidR="00DC0642">
        <w:t>instances</w:t>
      </w:r>
      <w:r>
        <w:t xml:space="preserve"> where no further manipulations or dose preparation after dispensing is required, after receipt of the dispensed </w:t>
      </w:r>
      <w:r w:rsidR="009B3AA1">
        <w:t>investigational</w:t>
      </w:r>
      <w:r>
        <w:t xml:space="preserve"> product, the individual licensed to administrator </w:t>
      </w:r>
      <w:r w:rsidR="009B3AA1">
        <w:t>investigational</w:t>
      </w:r>
      <w:r>
        <w:t xml:space="preserve"> product verifies that the </w:t>
      </w:r>
      <w:r w:rsidR="009B3AA1">
        <w:t>investigational</w:t>
      </w:r>
      <w:r>
        <w:t xml:space="preserve"> product corresponds with the protocol-assigned treatment (e.g., treatment assignment, product name (if unblinded), strength/concentration, dose, route, and frequency)</w:t>
      </w:r>
    </w:p>
    <w:p w14:paraId="1CE0068A" w14:textId="569E5488" w:rsidR="00CC3E8D" w:rsidRDefault="00CC3E8D" w:rsidP="007528C7">
      <w:pPr>
        <w:pStyle w:val="ListParagraph2"/>
        <w:numPr>
          <w:ilvl w:val="1"/>
          <w:numId w:val="119"/>
        </w:numPr>
        <w:ind w:left="1080"/>
      </w:pPr>
      <w:r>
        <w:t>In instance</w:t>
      </w:r>
      <w:r w:rsidR="00DC0642">
        <w:t>s</w:t>
      </w:r>
      <w:r>
        <w:t xml:space="preserve"> where, after dispensing by the site Research Pharmacist, the </w:t>
      </w:r>
      <w:r w:rsidR="009B3AA1">
        <w:t>investigational</w:t>
      </w:r>
      <w:r>
        <w:t xml:space="preserve"> product requires additional manipulation or dose preparation prior to administration (e.g., withdrawal of a single-dose from a multi-dose vial or single-step dilution of a vaccine for immediate administration), the individual performing the additional manipulation verifies </w:t>
      </w:r>
      <w:r w:rsidR="009B3AA1">
        <w:t>investigational</w:t>
      </w:r>
      <w:r>
        <w:t xml:space="preserve"> product corresponds with the protocol-assigned treatment (e.g., treatment assignment, product name (if unblinded), strength/concentration, dose, route, and frequency).  A “double-check” by a second individual (again, licensed to administer drugs) must also occur during and/or after manipulation or dose preparation and prior to administration of the product</w:t>
      </w:r>
    </w:p>
    <w:p w14:paraId="71201066" w14:textId="77777777" w:rsidR="00793CF7" w:rsidRDefault="00793CF7" w:rsidP="00793CF7">
      <w:pPr>
        <w:pStyle w:val="ListParagraph"/>
        <w:ind w:left="720"/>
      </w:pPr>
    </w:p>
    <w:p w14:paraId="53F10407" w14:textId="6AAA90CF" w:rsidR="00793CF7" w:rsidRPr="00E87067" w:rsidRDefault="00793CF7" w:rsidP="00D6425D">
      <w:pPr>
        <w:pStyle w:val="ListParagraph"/>
        <w:ind w:left="720"/>
      </w:pPr>
      <w:r w:rsidRPr="00E87067">
        <w:t xml:space="preserve">At a minimum, the following should be verified before the </w:t>
      </w:r>
      <w:r w:rsidR="009B3AA1">
        <w:t>investigational</w:t>
      </w:r>
      <w:r w:rsidRPr="00E87067">
        <w:t xml:space="preserve"> product(s) is administered:</w:t>
      </w:r>
    </w:p>
    <w:p w14:paraId="603466F8" w14:textId="774FD33C" w:rsidR="00793CF7" w:rsidRPr="00E87067" w:rsidRDefault="00793CF7" w:rsidP="007528C7">
      <w:pPr>
        <w:pStyle w:val="ListParagraph2"/>
        <w:numPr>
          <w:ilvl w:val="0"/>
          <w:numId w:val="75"/>
        </w:numPr>
        <w:spacing w:after="120"/>
        <w:ind w:left="1080"/>
      </w:pPr>
      <w:r w:rsidRPr="00E87067">
        <w:t>Subject identification and enrollment into the study</w:t>
      </w:r>
    </w:p>
    <w:p w14:paraId="555F1D8C" w14:textId="77777777" w:rsidR="00793CF7" w:rsidRPr="00E87067" w:rsidRDefault="00793CF7" w:rsidP="007528C7">
      <w:pPr>
        <w:pStyle w:val="ListParagraph2"/>
        <w:numPr>
          <w:ilvl w:val="0"/>
          <w:numId w:val="75"/>
        </w:numPr>
        <w:spacing w:after="120"/>
        <w:ind w:left="1080"/>
      </w:pPr>
      <w:r w:rsidRPr="00E87067">
        <w:t>Subject provided written informed consent for the current version of the protocol</w:t>
      </w:r>
    </w:p>
    <w:p w14:paraId="3CFD5B73" w14:textId="40CC5184" w:rsidR="00793CF7" w:rsidRPr="00E87067" w:rsidRDefault="009B3AA1" w:rsidP="007528C7">
      <w:pPr>
        <w:pStyle w:val="ListParagraph2"/>
        <w:numPr>
          <w:ilvl w:val="0"/>
          <w:numId w:val="75"/>
        </w:numPr>
        <w:spacing w:after="120"/>
        <w:ind w:left="1080"/>
      </w:pPr>
      <w:r>
        <w:t>Investigational</w:t>
      </w:r>
      <w:r w:rsidR="00793CF7" w:rsidRPr="00E87067">
        <w:t xml:space="preserve"> product identification (including name and/or unique code number assigned, if applicable) is correct based on treatment assignment</w:t>
      </w:r>
    </w:p>
    <w:p w14:paraId="5EAA3194" w14:textId="5B80181E" w:rsidR="00793CF7" w:rsidRPr="00E87067" w:rsidRDefault="00793CF7" w:rsidP="007528C7">
      <w:pPr>
        <w:pStyle w:val="ListParagraph2"/>
        <w:numPr>
          <w:ilvl w:val="0"/>
          <w:numId w:val="75"/>
        </w:numPr>
        <w:spacing w:after="120"/>
        <w:ind w:left="1080"/>
      </w:pPr>
      <w:r w:rsidRPr="00E87067">
        <w:lastRenderedPageBreak/>
        <w:t xml:space="preserve">Dose of </w:t>
      </w:r>
      <w:r w:rsidR="009B3AA1">
        <w:t>investigational</w:t>
      </w:r>
      <w:r w:rsidRPr="00E87067">
        <w:t xml:space="preserve"> product</w:t>
      </w:r>
    </w:p>
    <w:p w14:paraId="423CDCB2" w14:textId="0C9D3817" w:rsidR="00793CF7" w:rsidRPr="00E87067" w:rsidRDefault="00793CF7" w:rsidP="007528C7">
      <w:pPr>
        <w:pStyle w:val="ListParagraph2"/>
        <w:numPr>
          <w:ilvl w:val="0"/>
          <w:numId w:val="75"/>
        </w:numPr>
        <w:spacing w:after="120"/>
        <w:ind w:left="1080"/>
      </w:pPr>
      <w:r w:rsidRPr="00E87067">
        <w:t>Volume</w:t>
      </w:r>
      <w:r w:rsidR="00756BFD">
        <w:t>/quantity</w:t>
      </w:r>
      <w:r w:rsidRPr="00E87067">
        <w:t xml:space="preserve"> of </w:t>
      </w:r>
      <w:r w:rsidR="009B3AA1">
        <w:t>investigational</w:t>
      </w:r>
      <w:r w:rsidRPr="00E87067">
        <w:t xml:space="preserve"> product</w:t>
      </w:r>
    </w:p>
    <w:p w14:paraId="33EB8204" w14:textId="77777777" w:rsidR="00793CF7" w:rsidRPr="00E87067" w:rsidRDefault="00793CF7" w:rsidP="007528C7">
      <w:pPr>
        <w:pStyle w:val="ListParagraph2"/>
        <w:numPr>
          <w:ilvl w:val="0"/>
          <w:numId w:val="75"/>
        </w:numPr>
        <w:spacing w:after="120"/>
        <w:ind w:left="1080"/>
      </w:pPr>
      <w:r w:rsidRPr="00E87067">
        <w:t>Route of administration</w:t>
      </w:r>
    </w:p>
    <w:p w14:paraId="6CE795C3" w14:textId="77777777" w:rsidR="00793CF7" w:rsidRPr="00E87067" w:rsidRDefault="00793CF7" w:rsidP="007528C7">
      <w:pPr>
        <w:pStyle w:val="ListParagraph2"/>
        <w:numPr>
          <w:ilvl w:val="0"/>
          <w:numId w:val="75"/>
        </w:numPr>
        <w:spacing w:after="120"/>
        <w:ind w:left="1080"/>
      </w:pPr>
      <w:r w:rsidRPr="00E87067">
        <w:t>Product appears to be in good condition based on physical inspection (for example, there is no visible particulate matter or discoloration)</w:t>
      </w:r>
    </w:p>
    <w:p w14:paraId="0B695088" w14:textId="77777777" w:rsidR="00793CF7" w:rsidRPr="00E87067" w:rsidRDefault="00793CF7" w:rsidP="007528C7">
      <w:pPr>
        <w:pStyle w:val="ListParagraph2"/>
        <w:numPr>
          <w:ilvl w:val="0"/>
          <w:numId w:val="75"/>
        </w:numPr>
        <w:spacing w:after="120"/>
        <w:ind w:left="1080"/>
      </w:pPr>
      <w:r w:rsidRPr="00E87067">
        <w:t>Proper storage conditions</w:t>
      </w:r>
    </w:p>
    <w:p w14:paraId="2D58E691" w14:textId="6C608291" w:rsidR="00793CF7" w:rsidRDefault="00793CF7" w:rsidP="007528C7">
      <w:pPr>
        <w:pStyle w:val="ListParagraph2"/>
        <w:numPr>
          <w:ilvl w:val="0"/>
          <w:numId w:val="75"/>
        </w:numPr>
        <w:spacing w:after="120"/>
        <w:ind w:left="1080"/>
      </w:pPr>
      <w:r w:rsidRPr="00E87067">
        <w:t>Expiration date if provided</w:t>
      </w:r>
    </w:p>
    <w:p w14:paraId="746978CE" w14:textId="2183C063" w:rsidR="00FF3B71" w:rsidRPr="00E87067" w:rsidRDefault="009B3AA1" w:rsidP="007528C7">
      <w:pPr>
        <w:pStyle w:val="ListParagraph2"/>
      </w:pPr>
      <w:r>
        <w:t>Investigational</w:t>
      </w:r>
      <w:r w:rsidR="00FF3B71" w:rsidRPr="00E87067">
        <w:t xml:space="preserve"> product(s) must be administered by qualified individuals based on experience, training, education and licensure/registration/certification (as applicable)</w:t>
      </w:r>
    </w:p>
    <w:p w14:paraId="209DA7B2" w14:textId="24258A9D" w:rsidR="00FF3B71" w:rsidRPr="00E87067" w:rsidRDefault="00FF3B71" w:rsidP="007528C7">
      <w:pPr>
        <w:pStyle w:val="ListParagraph2"/>
      </w:pPr>
      <w:r w:rsidRPr="00E87067">
        <w:t xml:space="preserve">Unused </w:t>
      </w:r>
      <w:r w:rsidR="009B3AA1">
        <w:t>investigational</w:t>
      </w:r>
      <w:r w:rsidRPr="00E87067">
        <w:t xml:space="preserve"> </w:t>
      </w:r>
      <w:r w:rsidR="00634D4E" w:rsidRPr="00E87067">
        <w:t>products</w:t>
      </w:r>
      <w:r w:rsidRPr="00E87067">
        <w:t xml:space="preserve"> returned by trial subject must never be re</w:t>
      </w:r>
      <w:r w:rsidR="00634D4E">
        <w:t>-</w:t>
      </w:r>
      <w:r w:rsidRPr="00E87067">
        <w:t xml:space="preserve">dispensed to another subject. The returned </w:t>
      </w:r>
      <w:r w:rsidR="009B3AA1">
        <w:t>investigational</w:t>
      </w:r>
      <w:r w:rsidRPr="00E87067">
        <w:t xml:space="preserve"> product must be documented on the appropriate accountability log and stored in quarantine separate from active </w:t>
      </w:r>
      <w:r w:rsidR="009B3AA1">
        <w:t>investigational</w:t>
      </w:r>
      <w:r w:rsidRPr="00E87067">
        <w:t xml:space="preserve"> product inventory</w:t>
      </w:r>
    </w:p>
    <w:p w14:paraId="5B3714F4" w14:textId="33BCD4B9" w:rsidR="00FF3B71" w:rsidRPr="00E87067" w:rsidRDefault="00FF3B71" w:rsidP="00B76405">
      <w:pPr>
        <w:pStyle w:val="Heading1"/>
      </w:pPr>
      <w:bookmarkStart w:id="178" w:name="7_Maintenance_of_Study_Blind"/>
      <w:bookmarkStart w:id="179" w:name="_Toc25151434"/>
      <w:bookmarkStart w:id="180" w:name="_Ref207334010"/>
      <w:bookmarkStart w:id="181" w:name="_Toc224716373"/>
      <w:bookmarkEnd w:id="178"/>
      <w:r w:rsidRPr="00E87067">
        <w:t>Maintenance of Study Blind</w:t>
      </w:r>
      <w:bookmarkEnd w:id="179"/>
      <w:bookmarkEnd w:id="180"/>
      <w:bookmarkEnd w:id="181"/>
    </w:p>
    <w:p w14:paraId="6B2BC4CE" w14:textId="1E7540E9" w:rsidR="00FF3B71" w:rsidRPr="00E87067" w:rsidRDefault="00FF3B71" w:rsidP="00E87067">
      <w:r w:rsidRPr="00E87067">
        <w:t xml:space="preserve">Many trials sponsored by the DMID are randomized, blinded interventional trials. Blinded trials require special provisions to be made </w:t>
      </w:r>
      <w:r w:rsidR="00634D4E" w:rsidRPr="00E87067">
        <w:t>to</w:t>
      </w:r>
      <w:r w:rsidRPr="00E87067">
        <w:t xml:space="preserve"> maintain blinding of subjects and study personnel, as applicable. Such provisions may include but are not limited to masking the product, specialized labeling of the </w:t>
      </w:r>
      <w:r w:rsidR="009B3AA1">
        <w:t>investigational</w:t>
      </w:r>
      <w:r w:rsidRPr="00E87067">
        <w:t xml:space="preserve"> product and careful custody of blinded materials, such as treatment assignment codes. There are some studies where blinding is required but because of </w:t>
      </w:r>
      <w:r w:rsidR="00634D4E" w:rsidRPr="00E87067">
        <w:t>preparation,</w:t>
      </w:r>
      <w:r w:rsidRPr="00E87067">
        <w:t xml:space="preserve"> appearance or administration, some staff must be unblinded. When unblinded study personnel are used, a </w:t>
      </w:r>
      <w:r w:rsidR="00423E80">
        <w:t xml:space="preserve">local </w:t>
      </w:r>
      <w:r w:rsidRPr="00E87067">
        <w:t>plan or</w:t>
      </w:r>
      <w:r w:rsidR="00915939">
        <w:t xml:space="preserve"> </w:t>
      </w:r>
      <w:r w:rsidRPr="00E87067">
        <w:t>SOP should be in place that articulates the steps to be followed to prevent possible unblinding to others.</w:t>
      </w:r>
    </w:p>
    <w:p w14:paraId="1871B49F" w14:textId="77777777" w:rsidR="002D1C82" w:rsidRPr="002D1C82" w:rsidRDefault="002D1C82" w:rsidP="002D1C82">
      <w:pPr>
        <w:pStyle w:val="ListParagraph"/>
        <w:numPr>
          <w:ilvl w:val="0"/>
          <w:numId w:val="104"/>
        </w:numPr>
        <w:spacing w:before="240" w:after="240"/>
        <w:contextualSpacing w:val="0"/>
        <w:rPr>
          <w:rFonts w:ascii="Aptos Display" w:eastAsia="Times New Roman" w:hAnsi="Aptos Display" w:cs="Times New Roman"/>
          <w:b/>
          <w:bCs/>
          <w:vanish/>
          <w:color w:val="03569B"/>
          <w:sz w:val="36"/>
          <w:szCs w:val="28"/>
          <w:lang w:bidi="en-US"/>
        </w:rPr>
      </w:pPr>
      <w:bookmarkStart w:id="182" w:name="7.1_Blinding_and_Masking_Considerations"/>
      <w:bookmarkStart w:id="183" w:name="_Toc25151435"/>
      <w:bookmarkEnd w:id="182"/>
    </w:p>
    <w:p w14:paraId="2DAD9DDE" w14:textId="5629B0D5" w:rsidR="00FF3B71" w:rsidRPr="00E87067" w:rsidRDefault="00FF3B71" w:rsidP="002D1C82">
      <w:pPr>
        <w:pStyle w:val="Heading3b"/>
      </w:pPr>
      <w:r w:rsidRPr="00E87067">
        <w:t>Blinding and Masking Considerations</w:t>
      </w:r>
      <w:bookmarkEnd w:id="183"/>
    </w:p>
    <w:p w14:paraId="788E186C" w14:textId="37B80467" w:rsidR="00FF3B71" w:rsidRPr="00E87067" w:rsidRDefault="009B3AA1" w:rsidP="007528C7">
      <w:pPr>
        <w:pStyle w:val="ListParagraph2"/>
      </w:pPr>
      <w:r>
        <w:t>Investigational</w:t>
      </w:r>
      <w:r w:rsidR="00FF3B71" w:rsidRPr="00E87067">
        <w:t xml:space="preserve"> products that will be provided to and handled by blinded personnel must be labeled in a manner that does not reveal the treatment assignment.</w:t>
      </w:r>
    </w:p>
    <w:p w14:paraId="7E4BF213" w14:textId="77777777" w:rsidR="00FF3B71" w:rsidRPr="00E87067" w:rsidRDefault="00FF3B71" w:rsidP="007528C7">
      <w:pPr>
        <w:pStyle w:val="ListParagraph2"/>
      </w:pPr>
      <w:r w:rsidRPr="00E87067">
        <w:t>Unblinded personnel must:</w:t>
      </w:r>
    </w:p>
    <w:p w14:paraId="4292B312" w14:textId="4FDB4D0E" w:rsidR="00FF3B71" w:rsidRPr="00E87067" w:rsidRDefault="00FF3B71" w:rsidP="00C30A0E">
      <w:pPr>
        <w:pStyle w:val="ListParagraph2"/>
        <w:numPr>
          <w:ilvl w:val="0"/>
          <w:numId w:val="78"/>
        </w:numPr>
        <w:ind w:left="1080"/>
      </w:pPr>
      <w:r w:rsidRPr="00E87067">
        <w:t>Prevent inadvertent unblinding when communicating with blinded members of the study team</w:t>
      </w:r>
    </w:p>
    <w:p w14:paraId="10EC903C" w14:textId="484213E9" w:rsidR="00FF3B71" w:rsidRPr="00E87067" w:rsidRDefault="00FF3B71" w:rsidP="00C30A0E">
      <w:pPr>
        <w:pStyle w:val="ListParagraph2"/>
        <w:numPr>
          <w:ilvl w:val="0"/>
          <w:numId w:val="78"/>
        </w:numPr>
        <w:ind w:left="1080"/>
      </w:pPr>
      <w:r w:rsidRPr="00E87067">
        <w:t>Not be engaged in blinded study activities, such as protocol-related assessments</w:t>
      </w:r>
    </w:p>
    <w:p w14:paraId="5E660757" w14:textId="4FDED155" w:rsidR="00FF3B71" w:rsidRPr="00E87067" w:rsidRDefault="00FF3B71" w:rsidP="00C30A0E">
      <w:pPr>
        <w:pStyle w:val="ListParagraph2"/>
        <w:numPr>
          <w:ilvl w:val="0"/>
          <w:numId w:val="78"/>
        </w:numPr>
        <w:ind w:left="1080"/>
      </w:pPr>
      <w:r w:rsidRPr="00E87067">
        <w:t>Maintain assignment lists in a secure location and unavailable to blinded study personnel</w:t>
      </w:r>
    </w:p>
    <w:p w14:paraId="785DBBFA" w14:textId="77777777" w:rsidR="00FF3B71" w:rsidRPr="00E87067" w:rsidRDefault="00FF3B71" w:rsidP="007528C7">
      <w:pPr>
        <w:pStyle w:val="Heading3b"/>
      </w:pPr>
      <w:bookmarkStart w:id="184" w:name="7.2_Unblinding_Procedures"/>
      <w:bookmarkStart w:id="185" w:name="_Toc25151436"/>
      <w:bookmarkEnd w:id="184"/>
      <w:r w:rsidRPr="00E87067">
        <w:t>Unblinding Procedures</w:t>
      </w:r>
      <w:bookmarkEnd w:id="185"/>
    </w:p>
    <w:p w14:paraId="3F015264" w14:textId="77777777" w:rsidR="00FF3B71" w:rsidRPr="00E87067" w:rsidRDefault="00FF3B71" w:rsidP="007528C7">
      <w:pPr>
        <w:pStyle w:val="ListParagraph2"/>
      </w:pPr>
      <w:r w:rsidRPr="00E87067">
        <w:t>The need for unblinding is very rare and should not be exercised except in extreme cases.</w:t>
      </w:r>
    </w:p>
    <w:p w14:paraId="30C2A7D0" w14:textId="2BB79283" w:rsidR="00FF3B71" w:rsidRPr="00E87067" w:rsidRDefault="00FF3B71" w:rsidP="007528C7">
      <w:pPr>
        <w:pStyle w:val="ListParagraph2"/>
      </w:pPr>
      <w:r w:rsidRPr="00E87067">
        <w:t>A procedure for unblinding the treatment assignment in an emergency should be agreed upon by</w:t>
      </w:r>
      <w:r w:rsidR="00FC0998">
        <w:t xml:space="preserve"> the</w:t>
      </w:r>
      <w:r w:rsidRPr="00E87067">
        <w:t xml:space="preserve"> DMID and the PI and described in either the protocol, MOP or a separate SOP.</w:t>
      </w:r>
    </w:p>
    <w:p w14:paraId="36AC961A" w14:textId="02AC94EE" w:rsidR="00FF3B71" w:rsidRPr="00E87067" w:rsidRDefault="00FF3B71" w:rsidP="007528C7">
      <w:pPr>
        <w:pStyle w:val="ListParagraph2"/>
      </w:pPr>
      <w:r w:rsidRPr="00E87067">
        <w:t xml:space="preserve">The PI is responsible for documenting any approved or unapproved unblinding in the study file. </w:t>
      </w:r>
      <w:r w:rsidR="00FC0998">
        <w:t xml:space="preserve">The </w:t>
      </w:r>
      <w:r w:rsidRPr="00E87067">
        <w:t xml:space="preserve">DMID must be notified that unblinding occurred, but </w:t>
      </w:r>
      <w:r w:rsidR="00FC0998">
        <w:t xml:space="preserve">the </w:t>
      </w:r>
      <w:r w:rsidRPr="00E87067">
        <w:t xml:space="preserve">DMID should </w:t>
      </w:r>
      <w:r w:rsidR="00317896" w:rsidRPr="00E87067">
        <w:t>remain</w:t>
      </w:r>
      <w:r w:rsidRPr="00E87067">
        <w:t xml:space="preserve"> blinded. The </w:t>
      </w:r>
      <w:r w:rsidRPr="00E87067">
        <w:lastRenderedPageBreak/>
        <w:t>report should not include the study treatment assignment; however, the following should be included:</w:t>
      </w:r>
    </w:p>
    <w:p w14:paraId="1EA9F39C" w14:textId="77777777" w:rsidR="00853452" w:rsidRDefault="00FF3B71" w:rsidP="00853452">
      <w:pPr>
        <w:pStyle w:val="ListParagraph2"/>
        <w:numPr>
          <w:ilvl w:val="0"/>
          <w:numId w:val="80"/>
        </w:numPr>
        <w:ind w:left="1080"/>
      </w:pPr>
      <w:r w:rsidRPr="00E87067">
        <w:t>The protocol name and number</w:t>
      </w:r>
    </w:p>
    <w:p w14:paraId="2EF4E920" w14:textId="28354522" w:rsidR="00FF3B71" w:rsidRPr="00E87067" w:rsidRDefault="00FF3B71" w:rsidP="00853452">
      <w:pPr>
        <w:pStyle w:val="ListParagraph2"/>
        <w:numPr>
          <w:ilvl w:val="0"/>
          <w:numId w:val="80"/>
        </w:numPr>
        <w:ind w:left="1080"/>
      </w:pPr>
      <w:r w:rsidRPr="00E87067">
        <w:t>The subject identification number</w:t>
      </w:r>
    </w:p>
    <w:p w14:paraId="04A02E72" w14:textId="77777777" w:rsidR="00FF3B71" w:rsidRPr="00E87067" w:rsidRDefault="00FF3B71" w:rsidP="00DD2A1D">
      <w:pPr>
        <w:pStyle w:val="ListParagraph2"/>
        <w:numPr>
          <w:ilvl w:val="0"/>
          <w:numId w:val="80"/>
        </w:numPr>
        <w:ind w:left="1080"/>
      </w:pPr>
      <w:r w:rsidRPr="00E87067">
        <w:t>Date and time that unblinding occurred</w:t>
      </w:r>
    </w:p>
    <w:p w14:paraId="10227946" w14:textId="17910910" w:rsidR="00FF3B71" w:rsidRPr="00E87067" w:rsidRDefault="00FF3B71" w:rsidP="00DD2A1D">
      <w:pPr>
        <w:pStyle w:val="ListParagraph2"/>
        <w:numPr>
          <w:ilvl w:val="0"/>
          <w:numId w:val="80"/>
        </w:numPr>
        <w:ind w:left="1080"/>
      </w:pPr>
      <w:r w:rsidRPr="00E87067">
        <w:t>Names of study personnel who were unblinded</w:t>
      </w:r>
    </w:p>
    <w:p w14:paraId="15932C34" w14:textId="77777777" w:rsidR="00FF3B71" w:rsidRPr="00E87067" w:rsidRDefault="00FF3B71" w:rsidP="00DD2A1D">
      <w:pPr>
        <w:pStyle w:val="ListParagraph2"/>
        <w:numPr>
          <w:ilvl w:val="0"/>
          <w:numId w:val="80"/>
        </w:numPr>
        <w:ind w:left="1080"/>
      </w:pPr>
      <w:r w:rsidRPr="00E87067">
        <w:t>Reasons for unblinding</w:t>
      </w:r>
    </w:p>
    <w:p w14:paraId="4A137C17" w14:textId="4AF4685C" w:rsidR="00FF3B71" w:rsidRPr="00E87067" w:rsidRDefault="00FF3B71" w:rsidP="007528C7">
      <w:pPr>
        <w:pStyle w:val="ListParagraph2"/>
      </w:pPr>
      <w:r w:rsidRPr="00E87067">
        <w:t xml:space="preserve">In general, the IRB/IEC should be notified when unblinding </w:t>
      </w:r>
      <w:r w:rsidR="00044E81" w:rsidRPr="00E87067">
        <w:t>occurs.</w:t>
      </w:r>
    </w:p>
    <w:p w14:paraId="688C56D8" w14:textId="00AAC607" w:rsidR="00FF3B71" w:rsidRPr="00E87067" w:rsidRDefault="00FF3B71" w:rsidP="007528C7">
      <w:pPr>
        <w:pStyle w:val="ListParagraph2"/>
      </w:pPr>
      <w:r w:rsidRPr="00E87067">
        <w:t xml:space="preserve">If unblinding occurs, every effort should be made to minimize the number of </w:t>
      </w:r>
      <w:r w:rsidR="00317896" w:rsidRPr="00E87067">
        <w:t>people</w:t>
      </w:r>
      <w:r w:rsidRPr="00E87067">
        <w:t xml:space="preserve"> at the site who are informed of the treatment assignment</w:t>
      </w:r>
    </w:p>
    <w:p w14:paraId="6AEC8A29" w14:textId="4728F0DC" w:rsidR="00FF3B71" w:rsidRPr="00E87067" w:rsidRDefault="00FF3B71" w:rsidP="007528C7">
      <w:pPr>
        <w:pStyle w:val="ListParagraph2"/>
      </w:pPr>
      <w:r w:rsidRPr="00E87067">
        <w:t>The Research Pharmacist must confirm that the PI and/or study coordinator are aware that the blinded treatment assignment code is broken</w:t>
      </w:r>
    </w:p>
    <w:p w14:paraId="0F7D441A" w14:textId="77777777" w:rsidR="00FF3B71" w:rsidRPr="00766D31" w:rsidRDefault="00FF3B71" w:rsidP="00B76405">
      <w:pPr>
        <w:pStyle w:val="Heading1"/>
      </w:pPr>
      <w:bookmarkStart w:id="186" w:name="8_Record_Keeping_Responsibilities"/>
      <w:bookmarkStart w:id="187" w:name="_Toc25151437"/>
      <w:bookmarkStart w:id="188" w:name="_Toc224716374"/>
      <w:bookmarkEnd w:id="186"/>
      <w:r w:rsidRPr="00766D31">
        <w:t>Record Keeping Responsibilities</w:t>
      </w:r>
      <w:bookmarkEnd w:id="187"/>
      <w:bookmarkEnd w:id="188"/>
    </w:p>
    <w:p w14:paraId="53AA6100" w14:textId="4E031083" w:rsidR="00FF3B71" w:rsidRPr="00E87067" w:rsidRDefault="00FF3B71" w:rsidP="00E87067">
      <w:r w:rsidRPr="00E87067">
        <w:t xml:space="preserve">Documents, logs and records pertaining to </w:t>
      </w:r>
      <w:r w:rsidR="009B3AA1">
        <w:t>investigational</w:t>
      </w:r>
      <w:r w:rsidRPr="00E87067">
        <w:t xml:space="preserve"> product(s) should remain in the research pharmacy. These documents may be protocol-specific or general to research pharmacy operations.</w:t>
      </w:r>
    </w:p>
    <w:p w14:paraId="4A5828BF" w14:textId="3A0E3ABC" w:rsidR="00FF3B71" w:rsidRPr="00E87067" w:rsidRDefault="00FF3B71" w:rsidP="00E87067">
      <w:r w:rsidRPr="00E87067">
        <w:t xml:space="preserve">See </w:t>
      </w:r>
      <w:r w:rsidR="00852079">
        <w:t xml:space="preserve">section </w:t>
      </w:r>
      <w:r w:rsidR="00852079">
        <w:fldChar w:fldCharType="begin"/>
      </w:r>
      <w:r w:rsidR="00852079">
        <w:instrText xml:space="preserve"> REF _Ref207334068 \r \h </w:instrText>
      </w:r>
      <w:r w:rsidR="00852079">
        <w:fldChar w:fldCharType="separate"/>
      </w:r>
      <w:r w:rsidR="00852079">
        <w:t>11.9</w:t>
      </w:r>
      <w:r w:rsidR="00852079">
        <w:fldChar w:fldCharType="end"/>
      </w:r>
      <w:r w:rsidR="00852079">
        <w:t xml:space="preserve"> (</w:t>
      </w:r>
      <w:r w:rsidRPr="00E87067">
        <w:t xml:space="preserve">ICH </w:t>
      </w:r>
      <w:r w:rsidR="001F1828">
        <w:t>E6 (R2) GCP</w:t>
      </w:r>
      <w:r w:rsidR="001F1828" w:rsidRPr="00E87067">
        <w:t xml:space="preserve"> </w:t>
      </w:r>
      <w:r w:rsidRPr="00E87067">
        <w:t>section 4.6.3</w:t>
      </w:r>
      <w:r w:rsidR="00852079">
        <w:t>)</w:t>
      </w:r>
      <w:r w:rsidRPr="00E87067">
        <w:t>.</w:t>
      </w:r>
    </w:p>
    <w:p w14:paraId="3A1E7491" w14:textId="77777777" w:rsidR="002D1C82" w:rsidRPr="002D1C82" w:rsidRDefault="002D1C82" w:rsidP="002D1C82">
      <w:pPr>
        <w:pStyle w:val="ListParagraph"/>
        <w:numPr>
          <w:ilvl w:val="0"/>
          <w:numId w:val="104"/>
        </w:numPr>
        <w:spacing w:before="240" w:after="240"/>
        <w:contextualSpacing w:val="0"/>
        <w:rPr>
          <w:rFonts w:ascii="Aptos Display" w:eastAsia="Times New Roman" w:hAnsi="Aptos Display" w:cs="Times New Roman"/>
          <w:b/>
          <w:bCs/>
          <w:vanish/>
          <w:color w:val="03569B"/>
          <w:sz w:val="36"/>
          <w:szCs w:val="28"/>
          <w:lang w:bidi="en-US"/>
        </w:rPr>
      </w:pPr>
      <w:bookmarkStart w:id="189" w:name="_Toc22044503"/>
      <w:bookmarkStart w:id="190" w:name="_Toc22044587"/>
      <w:bookmarkStart w:id="191" w:name="_Toc25150832"/>
      <w:bookmarkStart w:id="192" w:name="_Toc25151438"/>
      <w:bookmarkStart w:id="193" w:name="8.1_Study_Product_Documentation"/>
      <w:bookmarkStart w:id="194" w:name="_Toc25151439"/>
      <w:bookmarkEnd w:id="189"/>
      <w:bookmarkEnd w:id="190"/>
      <w:bookmarkEnd w:id="191"/>
      <w:bookmarkEnd w:id="192"/>
      <w:bookmarkEnd w:id="193"/>
    </w:p>
    <w:p w14:paraId="332008DF" w14:textId="24D5D378" w:rsidR="00FF3B71" w:rsidRPr="00E87067" w:rsidRDefault="009B3AA1" w:rsidP="002D1C82">
      <w:pPr>
        <w:pStyle w:val="Heading3b"/>
      </w:pPr>
      <w:r>
        <w:t>Investigational</w:t>
      </w:r>
      <w:r w:rsidR="00FF3B71" w:rsidRPr="00E87067">
        <w:t xml:space="preserve"> Product Documentation</w:t>
      </w:r>
      <w:bookmarkEnd w:id="194"/>
    </w:p>
    <w:p w14:paraId="6F01128C" w14:textId="0A5B1B13" w:rsidR="00FF3B71" w:rsidRPr="00E87067" w:rsidRDefault="009B3AA1" w:rsidP="00DD2A1D">
      <w:pPr>
        <w:pStyle w:val="ListParagraph"/>
        <w:numPr>
          <w:ilvl w:val="0"/>
          <w:numId w:val="82"/>
        </w:numPr>
      </w:pPr>
      <w:r>
        <w:t>Investigational</w:t>
      </w:r>
      <w:r w:rsidR="00FF3B71" w:rsidRPr="00E87067">
        <w:t xml:space="preserve"> product records should include, but are not limited to, the following:</w:t>
      </w:r>
    </w:p>
    <w:p w14:paraId="17318643" w14:textId="77777777" w:rsidR="00FF3B71" w:rsidRPr="00E87067" w:rsidRDefault="00FF3B71" w:rsidP="00DD2A1D">
      <w:pPr>
        <w:pStyle w:val="ListParagraph"/>
        <w:numPr>
          <w:ilvl w:val="0"/>
          <w:numId w:val="82"/>
        </w:numPr>
      </w:pPr>
      <w:r w:rsidRPr="00E87067">
        <w:t>Shipping and receipt</w:t>
      </w:r>
    </w:p>
    <w:p w14:paraId="61F8867D" w14:textId="4739D85C" w:rsidR="00FF3B71" w:rsidRPr="00E87067" w:rsidRDefault="009B3AA1" w:rsidP="00DD2A1D">
      <w:pPr>
        <w:pStyle w:val="ListParagraph"/>
        <w:numPr>
          <w:ilvl w:val="0"/>
          <w:numId w:val="82"/>
        </w:numPr>
      </w:pPr>
      <w:r>
        <w:t>Investigational</w:t>
      </w:r>
      <w:r w:rsidR="00FF3B71" w:rsidRPr="00E87067">
        <w:t xml:space="preserve"> product accountability/dispensation</w:t>
      </w:r>
    </w:p>
    <w:p w14:paraId="164C548F" w14:textId="77777777" w:rsidR="00FF3B71" w:rsidRPr="00E87067" w:rsidRDefault="00FF3B71" w:rsidP="00DD2A1D">
      <w:pPr>
        <w:pStyle w:val="ListParagraph"/>
        <w:numPr>
          <w:ilvl w:val="0"/>
          <w:numId w:val="82"/>
        </w:numPr>
      </w:pPr>
      <w:r w:rsidRPr="00E87067">
        <w:t>Storage temperature logs</w:t>
      </w:r>
    </w:p>
    <w:p w14:paraId="0954C20D" w14:textId="76B777F8" w:rsidR="00FF3B71" w:rsidRPr="00E87067" w:rsidRDefault="009B3AA1" w:rsidP="00DD2A1D">
      <w:pPr>
        <w:pStyle w:val="ListParagraph"/>
        <w:numPr>
          <w:ilvl w:val="0"/>
          <w:numId w:val="82"/>
        </w:numPr>
      </w:pPr>
      <w:r>
        <w:t>Investigational</w:t>
      </w:r>
      <w:r w:rsidR="00FF3B71" w:rsidRPr="00E87067">
        <w:t xml:space="preserve"> product transport</w:t>
      </w:r>
    </w:p>
    <w:p w14:paraId="13A526DF" w14:textId="77777777" w:rsidR="00FF3B71" w:rsidRPr="00E87067" w:rsidRDefault="00FF3B71" w:rsidP="00DD2A1D">
      <w:pPr>
        <w:pStyle w:val="ListParagraph"/>
        <w:numPr>
          <w:ilvl w:val="0"/>
          <w:numId w:val="82"/>
        </w:numPr>
      </w:pPr>
      <w:r w:rsidRPr="00E87067">
        <w:t>Preparation and compounding</w:t>
      </w:r>
    </w:p>
    <w:p w14:paraId="41D0EAB0" w14:textId="77777777" w:rsidR="00FF3B71" w:rsidRPr="00E87067" w:rsidRDefault="00FF3B71" w:rsidP="00DD2A1D">
      <w:pPr>
        <w:pStyle w:val="ListParagraph"/>
        <w:numPr>
          <w:ilvl w:val="0"/>
          <w:numId w:val="82"/>
        </w:numPr>
      </w:pPr>
      <w:r w:rsidRPr="00E87067">
        <w:t>Expiration/ Retest date (when applicable)</w:t>
      </w:r>
    </w:p>
    <w:p w14:paraId="06C84C31" w14:textId="730ADF3F" w:rsidR="00FF3B71" w:rsidRPr="00E87067" w:rsidRDefault="009B3AA1" w:rsidP="00DD2A1D">
      <w:pPr>
        <w:pStyle w:val="ListParagraph"/>
        <w:numPr>
          <w:ilvl w:val="0"/>
          <w:numId w:val="82"/>
        </w:numPr>
      </w:pPr>
      <w:r>
        <w:t>Investigational</w:t>
      </w:r>
      <w:r w:rsidR="00FF3B71" w:rsidRPr="00E87067">
        <w:t xml:space="preserve"> product disposition</w:t>
      </w:r>
    </w:p>
    <w:p w14:paraId="4D1F96A4" w14:textId="77777777" w:rsidR="00FF3B71" w:rsidRPr="00E87067" w:rsidRDefault="00FF3B71" w:rsidP="00DD2A1D">
      <w:pPr>
        <w:pStyle w:val="ListParagraph"/>
        <w:numPr>
          <w:ilvl w:val="0"/>
          <w:numId w:val="82"/>
        </w:numPr>
      </w:pPr>
      <w:r w:rsidRPr="00E87067">
        <w:t>Randomization/treatment assignment</w:t>
      </w:r>
    </w:p>
    <w:p w14:paraId="4FE2FD2D" w14:textId="77777777" w:rsidR="00FF3B71" w:rsidRPr="00E87067" w:rsidRDefault="00FF3B71" w:rsidP="00DD2A1D">
      <w:pPr>
        <w:pStyle w:val="ListParagraph"/>
        <w:numPr>
          <w:ilvl w:val="0"/>
          <w:numId w:val="82"/>
        </w:numPr>
      </w:pPr>
      <w:r w:rsidRPr="00E87067">
        <w:t>IB (current and earlier versions) for non-marketed products or package insert for marketed products</w:t>
      </w:r>
    </w:p>
    <w:p w14:paraId="52177AE4" w14:textId="77777777" w:rsidR="00FF3B71" w:rsidRPr="00E87067" w:rsidRDefault="00FF3B71" w:rsidP="00DD2A1D">
      <w:pPr>
        <w:pStyle w:val="ListParagraph"/>
        <w:numPr>
          <w:ilvl w:val="0"/>
          <w:numId w:val="82"/>
        </w:numPr>
      </w:pPr>
      <w:r w:rsidRPr="00E87067">
        <w:t>Training documentation</w:t>
      </w:r>
    </w:p>
    <w:p w14:paraId="69D26AF8" w14:textId="77777777" w:rsidR="00FF3B71" w:rsidRPr="00E87067" w:rsidRDefault="00FF3B71" w:rsidP="00DD2A1D">
      <w:pPr>
        <w:pStyle w:val="ListParagraph"/>
        <w:numPr>
          <w:ilvl w:val="0"/>
          <w:numId w:val="82"/>
        </w:numPr>
      </w:pPr>
      <w:r w:rsidRPr="00E87067">
        <w:t>Pharmacy SOPs</w:t>
      </w:r>
    </w:p>
    <w:p w14:paraId="485EACBF" w14:textId="5B557E00" w:rsidR="00FF3B71" w:rsidRPr="00E87067" w:rsidRDefault="00FF3B71" w:rsidP="00DD2A1D">
      <w:pPr>
        <w:pStyle w:val="ListParagraph"/>
        <w:numPr>
          <w:ilvl w:val="0"/>
          <w:numId w:val="82"/>
        </w:numPr>
      </w:pPr>
      <w:r w:rsidRPr="00E87067">
        <w:t xml:space="preserve">Orders for </w:t>
      </w:r>
      <w:r w:rsidR="009B3AA1">
        <w:t>investigational</w:t>
      </w:r>
      <w:r w:rsidRPr="00E87067">
        <w:t xml:space="preserve"> product and/or adjunct products</w:t>
      </w:r>
    </w:p>
    <w:p w14:paraId="7315F081" w14:textId="77777777" w:rsidR="00FF3B71" w:rsidRPr="00E87067" w:rsidRDefault="00FF3B71" w:rsidP="00DD2A1D">
      <w:pPr>
        <w:pStyle w:val="ListParagraph"/>
        <w:numPr>
          <w:ilvl w:val="0"/>
          <w:numId w:val="82"/>
        </w:numPr>
      </w:pPr>
      <w:r w:rsidRPr="00E87067">
        <w:t>Signature log/delegation of duties roster</w:t>
      </w:r>
    </w:p>
    <w:p w14:paraId="5D0FDA60" w14:textId="13AB8550" w:rsidR="00FF3B71" w:rsidRDefault="004733E2" w:rsidP="007528C7">
      <w:pPr>
        <w:pStyle w:val="Heading3b"/>
      </w:pPr>
      <w:bookmarkStart w:id="195" w:name="_Toc22044505"/>
      <w:bookmarkStart w:id="196" w:name="_Toc22044589"/>
      <w:bookmarkStart w:id="197" w:name="_Toc25150834"/>
      <w:bookmarkStart w:id="198" w:name="_Toc25151440"/>
      <w:bookmarkStart w:id="199" w:name="8.2_Record_Retention"/>
      <w:bookmarkStart w:id="200" w:name="_Toc25151441"/>
      <w:bookmarkEnd w:id="195"/>
      <w:bookmarkEnd w:id="196"/>
      <w:bookmarkEnd w:id="197"/>
      <w:bookmarkEnd w:id="198"/>
      <w:bookmarkEnd w:id="199"/>
      <w:r w:rsidRPr="006E35D2">
        <w:t>Study Product Management Plan (SPMP) Document</w:t>
      </w:r>
      <w:bookmarkEnd w:id="200"/>
    </w:p>
    <w:p w14:paraId="6BDD42B1" w14:textId="01C51D18" w:rsidR="00FF3B71" w:rsidRPr="00766D31" w:rsidRDefault="00FF3B71" w:rsidP="007528C7">
      <w:pPr>
        <w:pStyle w:val="ListStyle3"/>
      </w:pPr>
      <w:bookmarkStart w:id="201" w:name="_Toc25151442"/>
      <w:bookmarkStart w:id="202" w:name="_Ref207334177"/>
      <w:r w:rsidRPr="00766D31">
        <w:t>Study Product Management Plan (SPMP)</w:t>
      </w:r>
      <w:bookmarkEnd w:id="201"/>
      <w:bookmarkEnd w:id="202"/>
    </w:p>
    <w:p w14:paraId="1AD8E98F" w14:textId="24C8D558" w:rsidR="00AB2747" w:rsidRDefault="24E0A29C" w:rsidP="787C1A3B">
      <w:pPr>
        <w:pStyle w:val="BodyText"/>
        <w:ind w:left="720"/>
      </w:pPr>
      <w:r>
        <w:t>The Site Research Pharmacist (or designee</w:t>
      </w:r>
      <w:r w:rsidR="00E851A1">
        <w:t xml:space="preserve"> with review by the </w:t>
      </w:r>
      <w:r w:rsidR="0008277C">
        <w:t>Site Research Pharmacist</w:t>
      </w:r>
      <w:r>
        <w:t xml:space="preserve">) must </w:t>
      </w:r>
      <w:r>
        <w:lastRenderedPageBreak/>
        <w:t xml:space="preserve">complete a Study Product Management Plan (SPMP) for </w:t>
      </w:r>
      <w:r w:rsidR="79BC872F">
        <w:t>each pharmacy</w:t>
      </w:r>
      <w:r>
        <w:t xml:space="preserve"> that </w:t>
      </w:r>
      <w:r w:rsidR="00F54576">
        <w:t>participates in</w:t>
      </w:r>
      <w:r>
        <w:t xml:space="preserve"> a DMID-funded Clinical Research Site. </w:t>
      </w:r>
      <w:r w:rsidR="10AA434B">
        <w:t xml:space="preserve">The SPMP </w:t>
      </w:r>
      <w:r w:rsidR="00F9770B">
        <w:t xml:space="preserve">documents </w:t>
      </w:r>
      <w:r w:rsidR="10AA434B">
        <w:t xml:space="preserve">that the pharmacy has the required personnel, facilities and equipment necessary for studies requiring controlled room temperature.  </w:t>
      </w:r>
      <w:r>
        <w:t xml:space="preserve">The SPMP </w:t>
      </w:r>
      <w:r w:rsidR="0D277BF0">
        <w:t>must be submitted</w:t>
      </w:r>
      <w:r w:rsidR="00455FBF">
        <w:t xml:space="preserve"> </w:t>
      </w:r>
      <w:r>
        <w:t xml:space="preserve">directly to the </w:t>
      </w:r>
      <w:r w:rsidR="27311471">
        <w:t>PST</w:t>
      </w:r>
      <w:r w:rsidR="6F7FE074">
        <w:t xml:space="preserve"> </w:t>
      </w:r>
      <w:r w:rsidR="00C64214" w:rsidRPr="00C64214">
        <w:t xml:space="preserve">for review and acceptance </w:t>
      </w:r>
      <w:r w:rsidR="6F7FE074">
        <w:t>at</w:t>
      </w:r>
      <w:hyperlink r:id="rId16" w:history="1">
        <w:r w:rsidR="002B493A" w:rsidRPr="002B493A">
          <w:rPr>
            <w:rStyle w:val="Hyperlink"/>
          </w:rPr>
          <w:t>DMIDProductSupportTeam@niaid.nih.gov</w:t>
        </w:r>
      </w:hyperlink>
    </w:p>
    <w:p w14:paraId="7AE37532" w14:textId="779D6B76" w:rsidR="00064625" w:rsidRDefault="27311471" w:rsidP="787C1A3B">
      <w:pPr>
        <w:pStyle w:val="BodyText"/>
        <w:ind w:left="720"/>
      </w:pPr>
      <w:r>
        <w:t xml:space="preserve">with a copy to the </w:t>
      </w:r>
      <w:r w:rsidR="24E0A29C">
        <w:t>Contracting Officer Representative (COR) or Project Officer (PO) for the clinical research site</w:t>
      </w:r>
      <w:r w:rsidR="00455FBF">
        <w:t>, or by non-VTEU sites</w:t>
      </w:r>
      <w:r w:rsidR="004513CB">
        <w:t xml:space="preserve"> to their network </w:t>
      </w:r>
      <w:r w:rsidR="00A50E9F">
        <w:t>P</w:t>
      </w:r>
      <w:r w:rsidR="004513CB">
        <w:t xml:space="preserve">roject </w:t>
      </w:r>
      <w:r w:rsidR="00A50E9F">
        <w:t>M</w:t>
      </w:r>
      <w:r w:rsidR="004513CB">
        <w:t>anage</w:t>
      </w:r>
      <w:r w:rsidR="00A50E9F">
        <w:t xml:space="preserve">r (or designee) for initial review, and then </w:t>
      </w:r>
      <w:r w:rsidR="00A30286">
        <w:t>to the PST</w:t>
      </w:r>
      <w:r w:rsidR="24E0A29C">
        <w:t xml:space="preserve"> for subsequent review and acceptance.  </w:t>
      </w:r>
    </w:p>
    <w:p w14:paraId="3246BEBD" w14:textId="40FEAD70" w:rsidR="00064625" w:rsidRPr="003B2C9C" w:rsidRDefault="00064625" w:rsidP="00064625">
      <w:pPr>
        <w:pStyle w:val="BodyText"/>
        <w:ind w:left="900"/>
      </w:pPr>
      <w:r w:rsidRPr="003B2C9C">
        <w:t>A</w:t>
      </w:r>
      <w:r w:rsidR="00DB5615">
        <w:t>n</w:t>
      </w:r>
      <w:r w:rsidRPr="003B2C9C">
        <w:t xml:space="preserve"> SPMP must be submitted if one of the following conditions </w:t>
      </w:r>
      <w:r w:rsidR="00DB5615">
        <w:t>occur</w:t>
      </w:r>
      <w:r w:rsidR="00DB5615" w:rsidRPr="003B2C9C">
        <w:t>s</w:t>
      </w:r>
      <w:r w:rsidRPr="003B2C9C">
        <w:t>:</w:t>
      </w:r>
    </w:p>
    <w:p w14:paraId="0BD89C65" w14:textId="11F28E9D" w:rsidR="00064625" w:rsidRPr="003B2C9C" w:rsidRDefault="00064625" w:rsidP="007528C7">
      <w:pPr>
        <w:pStyle w:val="ListParagraph2"/>
        <w:numPr>
          <w:ilvl w:val="1"/>
          <w:numId w:val="120"/>
        </w:numPr>
      </w:pPr>
      <w:r w:rsidRPr="003B2C9C">
        <w:t>A new research pharmacy is being established</w:t>
      </w:r>
    </w:p>
    <w:p w14:paraId="0FF479A1" w14:textId="2155DAA1" w:rsidR="00064625" w:rsidRPr="003B2C9C" w:rsidRDefault="00064625" w:rsidP="007528C7">
      <w:pPr>
        <w:pStyle w:val="ListParagraph2"/>
        <w:numPr>
          <w:ilvl w:val="1"/>
          <w:numId w:val="120"/>
        </w:numPr>
      </w:pPr>
      <w:r w:rsidRPr="003B2C9C">
        <w:t>The beginning of a new funding cycle</w:t>
      </w:r>
    </w:p>
    <w:p w14:paraId="30EACC0A" w14:textId="75B111CD" w:rsidR="00064625" w:rsidRPr="003B2C9C" w:rsidRDefault="00064625" w:rsidP="007528C7">
      <w:pPr>
        <w:pStyle w:val="ListParagraph2"/>
        <w:numPr>
          <w:ilvl w:val="1"/>
          <w:numId w:val="120"/>
        </w:numPr>
      </w:pPr>
      <w:r w:rsidRPr="003B2C9C">
        <w:t>The pharmacy is moving to a new location</w:t>
      </w:r>
    </w:p>
    <w:p w14:paraId="26E62486" w14:textId="2504D1F9" w:rsidR="00064625" w:rsidRDefault="00064625" w:rsidP="007528C7">
      <w:pPr>
        <w:pStyle w:val="ListParagraph2"/>
        <w:numPr>
          <w:ilvl w:val="1"/>
          <w:numId w:val="120"/>
        </w:numPr>
      </w:pPr>
      <w:r w:rsidRPr="003B2C9C">
        <w:t xml:space="preserve">There is significant change in the procedures outlined in the previously approved </w:t>
      </w:r>
      <w:r w:rsidR="00DB5615">
        <w:t>SPMP</w:t>
      </w:r>
    </w:p>
    <w:p w14:paraId="2B5239F1" w14:textId="6295E23B" w:rsidR="00064625" w:rsidRDefault="00064625" w:rsidP="007528C7">
      <w:pPr>
        <w:pStyle w:val="ListParagraph2"/>
        <w:numPr>
          <w:ilvl w:val="1"/>
          <w:numId w:val="120"/>
        </w:numPr>
      </w:pPr>
      <w:r>
        <w:t>Upon the PST request</w:t>
      </w:r>
    </w:p>
    <w:p w14:paraId="3215E68C" w14:textId="22238F8F" w:rsidR="688F1C95" w:rsidRDefault="688F1C95" w:rsidP="007528C7">
      <w:pPr>
        <w:pStyle w:val="BodyText"/>
        <w:spacing w:before="0" w:after="0"/>
        <w:ind w:left="720"/>
      </w:pPr>
      <w:r>
        <w:t xml:space="preserve">Once the SPMP is received, processed, and accepted by the PST, the PST acceptance email must be printed and filed with the accepted </w:t>
      </w:r>
      <w:r w:rsidR="23ECBEDE">
        <w:t xml:space="preserve">SPMP. </w:t>
      </w:r>
    </w:p>
    <w:p w14:paraId="160B1878" w14:textId="4B318017" w:rsidR="00FF3B71" w:rsidRPr="00E87067" w:rsidRDefault="00FF3B71" w:rsidP="007528C7">
      <w:pPr>
        <w:pStyle w:val="ListStyle3"/>
      </w:pPr>
      <w:bookmarkStart w:id="203" w:name="_Toc25151443"/>
      <w:r w:rsidRPr="00E87067">
        <w:t>SPMP Modules</w:t>
      </w:r>
      <w:bookmarkEnd w:id="203"/>
    </w:p>
    <w:p w14:paraId="28A50C4A" w14:textId="17E8E78B" w:rsidR="00064625" w:rsidRDefault="24E0A29C" w:rsidP="007528C7">
      <w:pPr>
        <w:pStyle w:val="BodyText"/>
        <w:ind w:left="744" w:hanging="24"/>
      </w:pPr>
      <w:r>
        <w:t>The Site Research Pharmacist (or designee</w:t>
      </w:r>
      <w:r w:rsidR="00AC2C27">
        <w:t xml:space="preserve"> with review by the Site Research Pharmacist</w:t>
      </w:r>
      <w:r>
        <w:t xml:space="preserve">) must </w:t>
      </w:r>
      <w:r w:rsidR="660E87B2">
        <w:t>complete the</w:t>
      </w:r>
      <w:r>
        <w:t xml:space="preserve"> SPMP modules</w:t>
      </w:r>
      <w:r w:rsidR="0C7CC63A">
        <w:t xml:space="preserve"> below, if applicable </w:t>
      </w:r>
      <w:r w:rsidR="1007C5CA">
        <w:t>to the</w:t>
      </w:r>
      <w:r>
        <w:t xml:space="preserve"> CRS </w:t>
      </w:r>
      <w:r w:rsidR="69284908">
        <w:t xml:space="preserve">pharmacy. </w:t>
      </w:r>
      <w:r w:rsidR="7BEBA18D">
        <w:t xml:space="preserve">The SPMP modules must be submitted directly to the PST at </w:t>
      </w:r>
      <w:hyperlink r:id="rId17" w:history="1">
        <w:r w:rsidR="331CF450" w:rsidRPr="50BBA94E">
          <w:rPr>
            <w:rStyle w:val="Hyperlink"/>
          </w:rPr>
          <w:t>DMIDProductSupportTeam@niaid.nih.gov</w:t>
        </w:r>
      </w:hyperlink>
      <w:r w:rsidR="331CF450">
        <w:t xml:space="preserve"> </w:t>
      </w:r>
      <w:r w:rsidR="002B493A" w:rsidRPr="002B493A">
        <w:t>with a copy to the Contracting Officer Representative (COR) or Project Officer (PO) for the clinical research site, or by non-VTEU sites to their network Project Manager (or designee) for initial review, and then to the PST for subsequent</w:t>
      </w:r>
      <w:r w:rsidR="331CF450">
        <w:t xml:space="preserve"> review and acceptance if one of the following conditions exists: </w:t>
      </w:r>
    </w:p>
    <w:p w14:paraId="5B81A932" w14:textId="4A9BF661" w:rsidR="00064625" w:rsidRDefault="207F65D4" w:rsidP="007528C7">
      <w:pPr>
        <w:pStyle w:val="BodyText"/>
        <w:numPr>
          <w:ilvl w:val="0"/>
          <w:numId w:val="84"/>
        </w:numPr>
        <w:spacing w:before="0" w:after="0"/>
        <w:ind w:left="1080"/>
      </w:pPr>
      <w:r>
        <w:t>Refrigerated Storage Module</w:t>
      </w:r>
      <w:r w:rsidR="378DFFED">
        <w:t xml:space="preserve">: </w:t>
      </w:r>
      <w:r w:rsidR="378DFFED" w:rsidRPr="50BBA94E">
        <w:t xml:space="preserve">This module must be submitted for review and </w:t>
      </w:r>
      <w:r w:rsidR="3B86F9CA" w:rsidRPr="50BBA94E">
        <w:t>acceptance</w:t>
      </w:r>
      <w:r w:rsidR="378DFFED" w:rsidRPr="50BBA94E">
        <w:t xml:space="preserve"> to </w:t>
      </w:r>
      <w:r w:rsidR="067A4725" w:rsidRPr="50BBA94E">
        <w:t>the PST</w:t>
      </w:r>
      <w:r w:rsidR="378DFFED" w:rsidRPr="50BBA94E">
        <w:t xml:space="preserve"> before the CRS is able to participate in any protocol requiring </w:t>
      </w:r>
      <w:r w:rsidR="16C6EAEC" w:rsidRPr="50BBA94E">
        <w:t>investigational</w:t>
      </w:r>
      <w:r w:rsidR="378DFFED" w:rsidRPr="50BBA94E">
        <w:t xml:space="preserve"> product(s) storage under refrigerated storage conditions (2°C – 8°C).</w:t>
      </w:r>
    </w:p>
    <w:p w14:paraId="058BE694" w14:textId="3E216504" w:rsidR="50BBA94E" w:rsidRDefault="50BBA94E" w:rsidP="007528C7">
      <w:pPr>
        <w:pStyle w:val="BodyText"/>
        <w:spacing w:before="0" w:after="0"/>
        <w:ind w:left="1080"/>
      </w:pPr>
    </w:p>
    <w:p w14:paraId="6ED6687B" w14:textId="517C3B9E" w:rsidR="00064625" w:rsidRDefault="207F65D4" w:rsidP="007528C7">
      <w:pPr>
        <w:pStyle w:val="BodyText"/>
        <w:numPr>
          <w:ilvl w:val="0"/>
          <w:numId w:val="84"/>
        </w:numPr>
        <w:spacing w:before="0" w:after="0"/>
        <w:ind w:left="1080"/>
      </w:pPr>
      <w:r>
        <w:t>-20°C Freezer Storage Module</w:t>
      </w:r>
      <w:r w:rsidR="0B8DDBC9">
        <w:t xml:space="preserve">: </w:t>
      </w:r>
      <w:r w:rsidR="0B8DDBC9" w:rsidRPr="50BBA94E">
        <w:t>This module must be submitted for review and a</w:t>
      </w:r>
      <w:r w:rsidR="3667B416" w:rsidRPr="50BBA94E">
        <w:t>cceptance</w:t>
      </w:r>
      <w:r w:rsidR="0B8DDBC9" w:rsidRPr="50BBA94E">
        <w:t xml:space="preserve"> to </w:t>
      </w:r>
      <w:r w:rsidR="59E158EF" w:rsidRPr="50BBA94E">
        <w:t xml:space="preserve">the PST </w:t>
      </w:r>
      <w:r w:rsidR="0B8DDBC9" w:rsidRPr="50BBA94E">
        <w:t xml:space="preserve">before the CRS is able to participate in any protocol requiring </w:t>
      </w:r>
      <w:r w:rsidR="228FA244" w:rsidRPr="50BBA94E">
        <w:t>investigational</w:t>
      </w:r>
      <w:r w:rsidR="0B8DDBC9" w:rsidRPr="50BBA94E">
        <w:t xml:space="preserve"> product(s) storage under </w:t>
      </w:r>
      <w:r w:rsidR="14EEA30C" w:rsidRPr="50BBA94E">
        <w:t>-20</w:t>
      </w:r>
      <w:r w:rsidR="0B8DDBC9" w:rsidRPr="50BBA94E">
        <w:t xml:space="preserve">°C </w:t>
      </w:r>
      <w:r w:rsidR="66CEDCF7" w:rsidRPr="50BBA94E">
        <w:t>freezer storage conditions</w:t>
      </w:r>
      <w:r w:rsidR="0B8DDBC9" w:rsidRPr="50BBA94E">
        <w:t>.</w:t>
      </w:r>
    </w:p>
    <w:p w14:paraId="621154D9" w14:textId="5BC51247" w:rsidR="50BBA94E" w:rsidRDefault="50BBA94E" w:rsidP="007528C7">
      <w:pPr>
        <w:pStyle w:val="BodyText"/>
        <w:spacing w:before="0" w:after="0"/>
        <w:ind w:left="1080"/>
      </w:pPr>
    </w:p>
    <w:p w14:paraId="0FBA72E1" w14:textId="1464D7CD" w:rsidR="00064625" w:rsidRDefault="207F65D4" w:rsidP="007528C7">
      <w:pPr>
        <w:pStyle w:val="BodyText"/>
        <w:numPr>
          <w:ilvl w:val="0"/>
          <w:numId w:val="84"/>
        </w:numPr>
        <w:spacing w:before="0" w:after="0"/>
        <w:ind w:left="1080"/>
      </w:pPr>
      <w:r>
        <w:t>-70°C Freezer Storage Module</w:t>
      </w:r>
      <w:r w:rsidR="00910FF5">
        <w:t xml:space="preserve"> </w:t>
      </w:r>
      <w:r w:rsidR="5C022873" w:rsidRPr="50BBA94E">
        <w:t xml:space="preserve">This module must be submitted for review and acceptance to the PST before the CRS is able to participate in any protocol requiring investigational product(s) storage under -70°C </w:t>
      </w:r>
      <w:r w:rsidR="002C2B2D">
        <w:t>(</w:t>
      </w:r>
      <w:r w:rsidR="004777CD">
        <w:t>&lt;-65</w:t>
      </w:r>
      <w:r w:rsidR="004777CD" w:rsidRPr="50BBA94E">
        <w:t>°</w:t>
      </w:r>
      <w:r w:rsidR="004777CD">
        <w:t xml:space="preserve">C) </w:t>
      </w:r>
      <w:r w:rsidR="5C022873" w:rsidRPr="50BBA94E">
        <w:t>freezer storage conditions.</w:t>
      </w:r>
    </w:p>
    <w:p w14:paraId="03A4384C" w14:textId="5E1C041C" w:rsidR="50BBA94E" w:rsidRDefault="50BBA94E" w:rsidP="007528C7">
      <w:pPr>
        <w:pStyle w:val="BodyText"/>
        <w:spacing w:before="0" w:after="0"/>
        <w:ind w:left="1080"/>
      </w:pPr>
    </w:p>
    <w:p w14:paraId="0A3A7BF1" w14:textId="08EBFF71" w:rsidR="00064625" w:rsidRDefault="207F65D4" w:rsidP="007528C7">
      <w:pPr>
        <w:pStyle w:val="BodyText"/>
        <w:numPr>
          <w:ilvl w:val="0"/>
          <w:numId w:val="84"/>
        </w:numPr>
        <w:spacing w:before="0" w:after="0"/>
        <w:ind w:left="1080"/>
      </w:pPr>
      <w:r>
        <w:t>Biosafety Cabinet/Isolator Module</w:t>
      </w:r>
      <w:r w:rsidR="061D8051">
        <w:t xml:space="preserve">: </w:t>
      </w:r>
      <w:r w:rsidR="061D8051" w:rsidRPr="50BBA94E">
        <w:t>This module must be submitted for review and acceptance to the PST before the CRS is able to participate in any protocol requiring investigational product(s) preparation within a Biosafety Cabinet/Isola</w:t>
      </w:r>
      <w:r w:rsidR="05C77CED" w:rsidRPr="50BBA94E">
        <w:t>tor</w:t>
      </w:r>
      <w:r w:rsidR="061D8051" w:rsidRPr="50BBA94E">
        <w:t>.</w:t>
      </w:r>
    </w:p>
    <w:p w14:paraId="18F7C7EA" w14:textId="041A5E8B" w:rsidR="00064625" w:rsidRDefault="00064625" w:rsidP="007528C7">
      <w:pPr>
        <w:pStyle w:val="BodyText"/>
        <w:spacing w:before="0" w:after="0"/>
        <w:ind w:left="1080"/>
      </w:pPr>
    </w:p>
    <w:p w14:paraId="36EC2623" w14:textId="5D077644" w:rsidR="00064625" w:rsidRDefault="207F65D4" w:rsidP="007528C7">
      <w:pPr>
        <w:pStyle w:val="BodyText"/>
        <w:numPr>
          <w:ilvl w:val="0"/>
          <w:numId w:val="84"/>
        </w:numPr>
        <w:spacing w:before="0" w:after="0"/>
        <w:ind w:left="1080"/>
      </w:pPr>
      <w:r>
        <w:t>Transportation/Chain of Custody Module</w:t>
      </w:r>
      <w:r w:rsidR="3B4E9986">
        <w:t xml:space="preserve">: </w:t>
      </w:r>
      <w:r w:rsidR="3B4E9986" w:rsidRPr="50BBA94E">
        <w:t xml:space="preserve">This module must be submitted for review and acceptance to the PST if any </w:t>
      </w:r>
      <w:r w:rsidR="006B6F90">
        <w:t>unused investigational product</w:t>
      </w:r>
      <w:r w:rsidR="00940A48">
        <w:t xml:space="preserve">, or </w:t>
      </w:r>
      <w:r w:rsidR="3B4E9986" w:rsidRPr="50BBA94E">
        <w:t>pharmacist-prepared participant-specific investigational products are transported and/or</w:t>
      </w:r>
      <w:r w:rsidR="4675605A" w:rsidRPr="50BBA94E">
        <w:t xml:space="preserve"> </w:t>
      </w:r>
      <w:r w:rsidR="3B4E9986" w:rsidRPr="50BBA94E">
        <w:t xml:space="preserve">stored in a different </w:t>
      </w:r>
      <w:r w:rsidR="3B4E9986" w:rsidRPr="50BBA94E">
        <w:lastRenderedPageBreak/>
        <w:t>physical location other than the pharmacy (e.g.,</w:t>
      </w:r>
      <w:r w:rsidR="4B035BB8" w:rsidRPr="50BBA94E">
        <w:t xml:space="preserve"> </w:t>
      </w:r>
      <w:r w:rsidR="00940A48">
        <w:t xml:space="preserve">from the pharmacy to </w:t>
      </w:r>
      <w:r w:rsidR="00FB79E0">
        <w:t xml:space="preserve">a BSC in another room outside of the pharmacy or to </w:t>
      </w:r>
      <w:r w:rsidR="3B4E9986" w:rsidRPr="50BBA94E">
        <w:t>another pharmacy or clinic).</w:t>
      </w:r>
    </w:p>
    <w:p w14:paraId="4A5639B7" w14:textId="742794C0" w:rsidR="00FF3B71" w:rsidRPr="00E87067" w:rsidRDefault="1BACB6DE" w:rsidP="007528C7">
      <w:pPr>
        <w:pStyle w:val="Heading3b"/>
      </w:pPr>
      <w:r>
        <w:fldChar w:fldCharType="begin"/>
      </w:r>
      <w:r>
        <w:instrText xml:space="preserve"> REF _Ref207334177 \r \h </w:instrText>
      </w:r>
      <w:r w:rsidR="0086261D">
        <w:instrText xml:space="preserve"> \* MERGEFORMAT </w:instrText>
      </w:r>
      <w:r>
        <w:fldChar w:fldCharType="separate"/>
      </w:r>
      <w:r>
        <w:fldChar w:fldCharType="end"/>
      </w:r>
      <w:bookmarkStart w:id="204" w:name="_Toc25151444"/>
      <w:r w:rsidR="00FF3B71" w:rsidRPr="00E87067">
        <w:t>Record Retention</w:t>
      </w:r>
      <w:bookmarkEnd w:id="204"/>
    </w:p>
    <w:p w14:paraId="68F101D6" w14:textId="0CFEBA48" w:rsidR="00FF3B71" w:rsidRPr="00E87067" w:rsidRDefault="00FF3B71" w:rsidP="007528C7">
      <w:pPr>
        <w:pStyle w:val="BodyText"/>
      </w:pPr>
      <w:bookmarkStart w:id="205" w:name="_Toc25151445"/>
      <w:r>
        <w:t xml:space="preserve">Record </w:t>
      </w:r>
      <w:r w:rsidR="3E87F9F5">
        <w:t xml:space="preserve">retention applies to </w:t>
      </w:r>
      <w:r w:rsidR="00190987">
        <w:t>clinical</w:t>
      </w:r>
      <w:r w:rsidR="780B2828">
        <w:t xml:space="preserve"> research records that are generated, stored and retained, as required</w:t>
      </w:r>
      <w:r w:rsidR="68AE4961">
        <w:t xml:space="preserve"> by U.S. regulations, laws, and policies</w:t>
      </w:r>
      <w:r w:rsidR="6D926FC4">
        <w:t xml:space="preserve">. </w:t>
      </w:r>
      <w:r w:rsidR="52049890">
        <w:t xml:space="preserve">All study documents </w:t>
      </w:r>
      <w:r w:rsidR="0DE8669B">
        <w:t xml:space="preserve">for investigational products </w:t>
      </w:r>
      <w:r w:rsidR="52049890">
        <w:t>retained by the DMID sponsored CRS</w:t>
      </w:r>
      <w:r w:rsidR="270F7EFE">
        <w:t xml:space="preserve"> must be maintained by the CRS as per federal </w:t>
      </w:r>
      <w:r w:rsidR="146F85BB">
        <w:t>and local regulations</w:t>
      </w:r>
      <w:r w:rsidR="199F5EEA">
        <w:t>.</w:t>
      </w:r>
      <w:r w:rsidR="52049890">
        <w:t xml:space="preserve"> </w:t>
      </w:r>
      <w:r>
        <w:t xml:space="preserve"> </w:t>
      </w:r>
      <w:bookmarkEnd w:id="205"/>
    </w:p>
    <w:p w14:paraId="00E05F37" w14:textId="77777777" w:rsidR="00FF3B71" w:rsidRPr="00E87067" w:rsidRDefault="00FF3B71" w:rsidP="007528C7">
      <w:pPr>
        <w:pStyle w:val="BodyText"/>
      </w:pPr>
      <w:bookmarkStart w:id="206" w:name="_Toc25151446"/>
      <w:r w:rsidRPr="00E87067">
        <w:t>For investigational trials requiring an IND/IDE or for those investigational studies that are conducted with FDA-regulated products, records will be retained as such:</w:t>
      </w:r>
      <w:bookmarkEnd w:id="206"/>
    </w:p>
    <w:p w14:paraId="3AB166BF" w14:textId="77777777" w:rsidR="00FF3B71" w:rsidRPr="00E87067" w:rsidRDefault="00FF3B71" w:rsidP="007528C7">
      <w:pPr>
        <w:pStyle w:val="ListParagraph2"/>
      </w:pPr>
      <w:r w:rsidRPr="00E87067">
        <w:t>A period of at least 2 years following the date that a marketing application is approved for the indication for which it is being investigated</w:t>
      </w:r>
    </w:p>
    <w:p w14:paraId="19031590" w14:textId="3FD1B1AE" w:rsidR="00C71C11" w:rsidRPr="00E87067" w:rsidRDefault="00FF3B71" w:rsidP="007528C7">
      <w:pPr>
        <w:pStyle w:val="ListParagraph2"/>
      </w:pPr>
      <w:r w:rsidRPr="00E87067">
        <w:t xml:space="preserve">A period of 2 years following the date that the investigation is discontinued and the FDA </w:t>
      </w:r>
      <w:r w:rsidR="00D0769A" w:rsidRPr="00E87067">
        <w:t>notified</w:t>
      </w:r>
      <w:r w:rsidRPr="00E87067">
        <w:t xml:space="preserve"> if a pre-market approval or a marketing application (licensure) is not being filed.</w:t>
      </w:r>
    </w:p>
    <w:p w14:paraId="4618B736" w14:textId="066054EF" w:rsidR="00FF3B71" w:rsidRDefault="00FF3B71" w:rsidP="00B76405">
      <w:pPr>
        <w:pStyle w:val="ListParagraph2"/>
      </w:pPr>
      <w:bookmarkStart w:id="207" w:name="_Toc25151447"/>
      <w:r w:rsidRPr="00E87067">
        <w:t xml:space="preserve">Records must not be destroyed until approval </w:t>
      </w:r>
      <w:r w:rsidR="00233244">
        <w:t>by</w:t>
      </w:r>
      <w:r w:rsidRPr="00E87067">
        <w:t xml:space="preserve"> the DMID has been granted.</w:t>
      </w:r>
      <w:bookmarkEnd w:id="207"/>
    </w:p>
    <w:p w14:paraId="18A6B6EC" w14:textId="4A29C410" w:rsidR="00FF3B71" w:rsidRPr="00E87067" w:rsidRDefault="00FF3B71" w:rsidP="00B76405">
      <w:pPr>
        <w:pStyle w:val="Heading1"/>
        <w:rPr>
          <w:rFonts w:eastAsiaTheme="minorHAnsi"/>
        </w:rPr>
      </w:pPr>
      <w:bookmarkStart w:id="208" w:name="9_Quality_Management_and_Monitoring"/>
      <w:bookmarkStart w:id="209" w:name="_Toc22044508"/>
      <w:bookmarkStart w:id="210" w:name="_Toc22044592"/>
      <w:bookmarkStart w:id="211" w:name="_Toc25150842"/>
      <w:bookmarkStart w:id="212" w:name="_Toc25151449"/>
      <w:bookmarkStart w:id="213" w:name="9.1_Quality_Management"/>
      <w:bookmarkStart w:id="214" w:name="_Toc22044512"/>
      <w:bookmarkStart w:id="215" w:name="_Toc22044596"/>
      <w:bookmarkStart w:id="216" w:name="_Toc25150846"/>
      <w:bookmarkStart w:id="217" w:name="_Toc25151453"/>
      <w:bookmarkStart w:id="218" w:name="9.2_Clinical_Monitoring/Auditing_Visits"/>
      <w:bookmarkStart w:id="219" w:name="_Toc25150848"/>
      <w:bookmarkStart w:id="220" w:name="_Toc25151455"/>
      <w:bookmarkStart w:id="221" w:name="_Toc25150849"/>
      <w:bookmarkStart w:id="222" w:name="_Toc25151456"/>
      <w:bookmarkStart w:id="223" w:name="_Toc25150850"/>
      <w:bookmarkStart w:id="224" w:name="_Toc25151457"/>
      <w:bookmarkStart w:id="225" w:name="_Toc25150851"/>
      <w:bookmarkStart w:id="226" w:name="_Toc25151458"/>
      <w:bookmarkStart w:id="227" w:name="_Toc25150852"/>
      <w:bookmarkStart w:id="228" w:name="_Toc25151459"/>
      <w:bookmarkStart w:id="229" w:name="_Toc25150853"/>
      <w:bookmarkStart w:id="230" w:name="_Toc25151460"/>
      <w:bookmarkStart w:id="231" w:name="_Toc25150854"/>
      <w:bookmarkStart w:id="232" w:name="_Toc25151461"/>
      <w:bookmarkStart w:id="233" w:name="_Toc25150855"/>
      <w:bookmarkStart w:id="234" w:name="_Toc25151462"/>
      <w:bookmarkStart w:id="235" w:name="_Toc25150856"/>
      <w:bookmarkStart w:id="236" w:name="_Toc25151463"/>
      <w:bookmarkStart w:id="237" w:name="_Toc25150857"/>
      <w:bookmarkStart w:id="238" w:name="_Toc25151464"/>
      <w:bookmarkStart w:id="239" w:name="_Toc25150858"/>
      <w:bookmarkStart w:id="240" w:name="_Toc25151465"/>
      <w:bookmarkStart w:id="241" w:name="_Toc25150859"/>
      <w:bookmarkStart w:id="242" w:name="_Toc25151466"/>
      <w:bookmarkStart w:id="243" w:name="_Toc25150860"/>
      <w:bookmarkStart w:id="244" w:name="_Toc25151467"/>
      <w:bookmarkStart w:id="245" w:name="_Toc25150861"/>
      <w:bookmarkStart w:id="246" w:name="_Toc25151468"/>
      <w:bookmarkStart w:id="247" w:name="_Toc25150862"/>
      <w:bookmarkStart w:id="248" w:name="_Toc25151469"/>
      <w:bookmarkStart w:id="249" w:name="_Toc25150863"/>
      <w:bookmarkStart w:id="250" w:name="_Toc25151470"/>
      <w:bookmarkStart w:id="251" w:name="_Toc25150864"/>
      <w:bookmarkStart w:id="252" w:name="_Toc25151471"/>
      <w:bookmarkStart w:id="253" w:name="_Toc25150865"/>
      <w:bookmarkStart w:id="254" w:name="_Toc25151472"/>
      <w:bookmarkStart w:id="255" w:name="_Toc25150866"/>
      <w:bookmarkStart w:id="256" w:name="_Toc25151473"/>
      <w:bookmarkStart w:id="257" w:name="_Toc25150867"/>
      <w:bookmarkStart w:id="258" w:name="_Toc25151474"/>
      <w:bookmarkStart w:id="259" w:name="_Toc25150868"/>
      <w:bookmarkStart w:id="260" w:name="_Toc25151475"/>
      <w:bookmarkStart w:id="261" w:name="_Toc25150869"/>
      <w:bookmarkStart w:id="262" w:name="_Toc25151476"/>
      <w:bookmarkStart w:id="263" w:name="_Toc25150870"/>
      <w:bookmarkStart w:id="264" w:name="_Toc25151477"/>
      <w:bookmarkStart w:id="265" w:name="10_Protocol_Deviations"/>
      <w:bookmarkStart w:id="266" w:name="_Toc223348181"/>
      <w:bookmarkStart w:id="267" w:name="_Toc223348182"/>
      <w:bookmarkStart w:id="268" w:name="_Toc22044515"/>
      <w:bookmarkStart w:id="269" w:name="_Toc22044599"/>
      <w:bookmarkStart w:id="270" w:name="_Toc25150872"/>
      <w:bookmarkStart w:id="271" w:name="_Toc25151479"/>
      <w:bookmarkStart w:id="272" w:name="10.1_Research_Pharmacy-Related_Deviation"/>
      <w:bookmarkStart w:id="273" w:name="_Toc223348183"/>
      <w:bookmarkStart w:id="274" w:name="_Toc223348184"/>
      <w:bookmarkStart w:id="275" w:name="10.1.1_Storage,_Handling_and_Accountabil"/>
      <w:bookmarkStart w:id="276" w:name="_Toc223348185"/>
      <w:bookmarkStart w:id="277" w:name="_Toc223348186"/>
      <w:bookmarkStart w:id="278" w:name="_Toc223348187"/>
      <w:bookmarkStart w:id="279" w:name="_Toc223348188"/>
      <w:bookmarkStart w:id="280" w:name="_Toc223348189"/>
      <w:bookmarkStart w:id="281" w:name="10.1.2_Dispensing_Errors"/>
      <w:bookmarkStart w:id="282" w:name="_Toc223348190"/>
      <w:bookmarkStart w:id="283" w:name="_Toc223348191"/>
      <w:bookmarkStart w:id="284" w:name="_Toc223348192"/>
      <w:bookmarkStart w:id="285" w:name="_Toc223348193"/>
      <w:bookmarkStart w:id="286" w:name="_Toc223348194"/>
      <w:bookmarkStart w:id="287" w:name="_Toc223348195"/>
      <w:bookmarkStart w:id="288" w:name="_Toc223348196"/>
      <w:bookmarkStart w:id="289" w:name="_Toc223348197"/>
      <w:bookmarkStart w:id="290" w:name="_Toc22044519"/>
      <w:bookmarkStart w:id="291" w:name="_Toc22044603"/>
      <w:bookmarkStart w:id="292" w:name="_Toc25150876"/>
      <w:bookmarkStart w:id="293" w:name="_Toc25151483"/>
      <w:bookmarkStart w:id="294" w:name="10.2_Deviation_Reporting"/>
      <w:bookmarkStart w:id="295" w:name="_Toc223348198"/>
      <w:bookmarkStart w:id="296" w:name="_Toc223348199"/>
      <w:bookmarkStart w:id="297" w:name="_Toc223348200"/>
      <w:bookmarkStart w:id="298" w:name="_Toc223348201"/>
      <w:bookmarkStart w:id="299" w:name="11_Additional_Considerations/Responsibil"/>
      <w:bookmarkStart w:id="300" w:name="_Toc25151485"/>
      <w:bookmarkStart w:id="301" w:name="_Toc224716375"/>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r w:rsidRPr="00E87067">
        <w:rPr>
          <w:rFonts w:eastAsiaTheme="minorHAnsi"/>
        </w:rPr>
        <w:t>Additional Considerations/Responsibilities</w:t>
      </w:r>
      <w:bookmarkEnd w:id="300"/>
      <w:bookmarkEnd w:id="301"/>
    </w:p>
    <w:p w14:paraId="12CB91FB" w14:textId="77777777" w:rsidR="002D1C82" w:rsidRPr="002D1C82" w:rsidRDefault="002D1C82" w:rsidP="002D1C82">
      <w:pPr>
        <w:pStyle w:val="ListParagraph"/>
        <w:numPr>
          <w:ilvl w:val="0"/>
          <w:numId w:val="104"/>
        </w:numPr>
        <w:spacing w:before="240" w:after="240"/>
        <w:contextualSpacing w:val="0"/>
        <w:rPr>
          <w:rFonts w:ascii="Aptos Display" w:eastAsia="Times New Roman" w:hAnsi="Aptos Display" w:cs="Times New Roman"/>
          <w:b/>
          <w:bCs/>
          <w:vanish/>
          <w:color w:val="03569B"/>
          <w:sz w:val="36"/>
          <w:szCs w:val="28"/>
          <w:lang w:bidi="en-US"/>
        </w:rPr>
      </w:pPr>
      <w:bookmarkStart w:id="302" w:name="_Toc22044522"/>
      <w:bookmarkStart w:id="303" w:name="_Toc22044606"/>
      <w:bookmarkStart w:id="304" w:name="_Toc25150879"/>
      <w:bookmarkStart w:id="305" w:name="_Toc25151486"/>
      <w:bookmarkStart w:id="306" w:name="11.1_Research_Pharmacist_Coverage"/>
      <w:bookmarkStart w:id="307" w:name="_Toc25151487"/>
      <w:bookmarkEnd w:id="302"/>
      <w:bookmarkEnd w:id="303"/>
      <w:bookmarkEnd w:id="304"/>
      <w:bookmarkEnd w:id="305"/>
      <w:bookmarkEnd w:id="306"/>
    </w:p>
    <w:p w14:paraId="4EC44251" w14:textId="7AB87E20" w:rsidR="00FF3B71" w:rsidRPr="00E87067" w:rsidRDefault="00FF3B71" w:rsidP="002D1C82">
      <w:pPr>
        <w:pStyle w:val="Heading3b"/>
      </w:pPr>
      <w:r w:rsidRPr="00E87067">
        <w:t>Research Pharmacist Coverage</w:t>
      </w:r>
      <w:bookmarkEnd w:id="307"/>
    </w:p>
    <w:p w14:paraId="5A30FB4F" w14:textId="6CEF3280" w:rsidR="00FF3B71" w:rsidRPr="00E87067" w:rsidRDefault="00FF3B71" w:rsidP="007528C7">
      <w:pPr>
        <w:pStyle w:val="ListParagraph2"/>
      </w:pPr>
      <w:r w:rsidRPr="00E87067">
        <w:t xml:space="preserve">A qualified Research Pharmacist should </w:t>
      </w:r>
      <w:r w:rsidR="008C0401" w:rsidRPr="00E87067">
        <w:t>always be available</w:t>
      </w:r>
      <w:r w:rsidRPr="00E87067">
        <w:t xml:space="preserve"> for </w:t>
      </w:r>
      <w:r w:rsidR="009B3AA1">
        <w:t>investigational</w:t>
      </w:r>
      <w:r w:rsidRPr="00E87067">
        <w:t xml:space="preserve"> product preparation and dispensing</w:t>
      </w:r>
    </w:p>
    <w:p w14:paraId="2425F665" w14:textId="0764E828" w:rsidR="00FF3B71" w:rsidRPr="00E87067" w:rsidRDefault="00FF3B71" w:rsidP="007528C7">
      <w:pPr>
        <w:pStyle w:val="ListParagraph2"/>
      </w:pPr>
      <w:r w:rsidRPr="00E87067">
        <w:t xml:space="preserve">If the primary Research Pharmacist for a trial is absent, an Alternate Pharmacist must be available who can perform the functions related to </w:t>
      </w:r>
      <w:r w:rsidR="009B3AA1">
        <w:t>investigational</w:t>
      </w:r>
      <w:r w:rsidRPr="00E87067">
        <w:t xml:space="preserve"> product management for that trial (see definition for Alternate Pharmacist)</w:t>
      </w:r>
    </w:p>
    <w:p w14:paraId="5F6A3B5C" w14:textId="1FE944B9" w:rsidR="00FF3B71" w:rsidRPr="00E87067" w:rsidRDefault="00FF3B71" w:rsidP="007528C7">
      <w:pPr>
        <w:pStyle w:val="ListParagraph2"/>
      </w:pPr>
      <w:r w:rsidRPr="00E87067">
        <w:t xml:space="preserve">The Alternate Pharmacist must be trained in the requirements of clinical trials by the Research Pharmacist to perform activities including, but not limited to, the following: </w:t>
      </w:r>
      <w:r w:rsidR="009B3AA1">
        <w:t>investigational</w:t>
      </w:r>
      <w:r w:rsidRPr="00E87067">
        <w:t xml:space="preserve"> product receipt and inventory, storage, preparation, dispensing, accountability, and record keeping; the training must be documented</w:t>
      </w:r>
    </w:p>
    <w:p w14:paraId="09741AE2" w14:textId="77777777" w:rsidR="00FF3B71" w:rsidRPr="00E87067" w:rsidRDefault="00FF3B71" w:rsidP="007528C7">
      <w:pPr>
        <w:pStyle w:val="Heading3b"/>
      </w:pPr>
      <w:bookmarkStart w:id="308" w:name="_Toc22044524"/>
      <w:bookmarkStart w:id="309" w:name="_Toc22044608"/>
      <w:bookmarkStart w:id="310" w:name="_Toc25150881"/>
      <w:bookmarkStart w:id="311" w:name="_Toc25151488"/>
      <w:bookmarkStart w:id="312" w:name="11.2_International_Site_Considerations"/>
      <w:bookmarkStart w:id="313" w:name="_Toc25151489"/>
      <w:bookmarkEnd w:id="308"/>
      <w:bookmarkEnd w:id="309"/>
      <w:bookmarkEnd w:id="310"/>
      <w:bookmarkEnd w:id="311"/>
      <w:bookmarkEnd w:id="312"/>
      <w:r w:rsidRPr="00E87067">
        <w:t>International Site Considerations</w:t>
      </w:r>
      <w:bookmarkEnd w:id="313"/>
    </w:p>
    <w:p w14:paraId="4637F724" w14:textId="2494C08F" w:rsidR="00FF3B71" w:rsidRPr="00E87067" w:rsidRDefault="00FF3B71" w:rsidP="007528C7">
      <w:pPr>
        <w:pStyle w:val="BodyTextIndent3"/>
        <w:ind w:left="0"/>
      </w:pPr>
      <w:r w:rsidRPr="00E87067">
        <w:t>Studies performed at international sites may pose additional challenges in implementation and logistics. PIs and Research Pharmacists at international sites must be aware of such challenges prior to starting an investigational study. All potential issues must be addressed. If the research site cannot comply with the guidelines as outlined in this manual, please contact the PST to determine how to best proceed</w:t>
      </w:r>
      <w:r w:rsidR="001015A7">
        <w:t>.</w:t>
      </w:r>
    </w:p>
    <w:p w14:paraId="5B5A21CA" w14:textId="224B1B0C" w:rsidR="003D5217" w:rsidRPr="00E87067" w:rsidRDefault="00FF3B71" w:rsidP="007528C7">
      <w:pPr>
        <w:pStyle w:val="ListParagraph2"/>
      </w:pPr>
      <w:r w:rsidRPr="00E87067">
        <w:t>The study site must ensure that all documents for import, export and in-country use are in place</w:t>
      </w:r>
    </w:p>
    <w:p w14:paraId="6036F63A" w14:textId="641230C5" w:rsidR="00FF3B71" w:rsidRPr="00E87067" w:rsidRDefault="00FF3B71" w:rsidP="0049034C">
      <w:pPr>
        <w:pStyle w:val="ListParagraph2"/>
        <w:numPr>
          <w:ilvl w:val="0"/>
          <w:numId w:val="96"/>
        </w:numPr>
        <w:ind w:left="1080"/>
      </w:pPr>
      <w:r w:rsidRPr="00E87067">
        <w:t>Shipping documentation required for international sites includes, but is not limited to, commercial invoices and import permits (if applicable), in addition to receipts and records required for domestic sites</w:t>
      </w:r>
    </w:p>
    <w:p w14:paraId="3790EBE8" w14:textId="3220B1D1" w:rsidR="00FF3B71" w:rsidRPr="00E87067" w:rsidRDefault="00FF3B71" w:rsidP="007528C7">
      <w:pPr>
        <w:pStyle w:val="ListParagraph2"/>
      </w:pPr>
      <w:r w:rsidRPr="00E87067">
        <w:t>The Research Pharmacist must be aware of and plan for potential challenges associated with international sites, such as import/export issues and related documentation</w:t>
      </w:r>
    </w:p>
    <w:p w14:paraId="4DB6FF25" w14:textId="2B526B6E" w:rsidR="00FF3B71" w:rsidRPr="00E87067" w:rsidRDefault="00FF3B71" w:rsidP="007528C7">
      <w:pPr>
        <w:pStyle w:val="ListParagraph2"/>
      </w:pPr>
      <w:r w:rsidRPr="00E87067">
        <w:t>Customs agents are usually engaged by</w:t>
      </w:r>
      <w:r w:rsidR="00123949">
        <w:t xml:space="preserve"> the</w:t>
      </w:r>
      <w:r w:rsidRPr="00E87067">
        <w:t xml:space="preserve"> DMID to help facilitate entry</w:t>
      </w:r>
    </w:p>
    <w:p w14:paraId="0066FC72" w14:textId="13F01FE6" w:rsidR="00FF3B71" w:rsidRPr="00E87067" w:rsidRDefault="00FF3B71" w:rsidP="007528C7">
      <w:pPr>
        <w:pStyle w:val="ListParagraph2"/>
      </w:pPr>
      <w:r w:rsidRPr="00E87067">
        <w:lastRenderedPageBreak/>
        <w:t>The site is responsible for having a receiving party and proper transport from the point of entry to the site</w:t>
      </w:r>
    </w:p>
    <w:p w14:paraId="09EF5844" w14:textId="0C84CC34" w:rsidR="00FF3B71" w:rsidRPr="00E87067" w:rsidRDefault="00FF3B71" w:rsidP="007528C7">
      <w:pPr>
        <w:pStyle w:val="ListParagraph2"/>
      </w:pPr>
      <w:r w:rsidRPr="00E87067">
        <w:t xml:space="preserve">The Research Pharmacist must be aware of and plan for complications in the event of a delay in receiving </w:t>
      </w:r>
      <w:r w:rsidR="009B3AA1">
        <w:t>investigational</w:t>
      </w:r>
      <w:r w:rsidRPr="00E87067">
        <w:t xml:space="preserve"> product at a site. For example, some complications in procurement of </w:t>
      </w:r>
      <w:r w:rsidR="009B3AA1">
        <w:t>investigational</w:t>
      </w:r>
      <w:r w:rsidRPr="00E87067">
        <w:t xml:space="preserve"> products and supplies into a country may decrease the shelf life of the </w:t>
      </w:r>
      <w:r w:rsidR="009B3AA1">
        <w:t>investigational</w:t>
      </w:r>
      <w:r w:rsidRPr="00E87067">
        <w:t xml:space="preserve"> product, expose the </w:t>
      </w:r>
      <w:r w:rsidR="009B3AA1">
        <w:t>investigational</w:t>
      </w:r>
      <w:r w:rsidRPr="00E87067">
        <w:t xml:space="preserve"> product to extreme temperature excursions, or even delay the clinical trial</w:t>
      </w:r>
    </w:p>
    <w:p w14:paraId="50CAFF85" w14:textId="5CA9347A" w:rsidR="00C133DE" w:rsidRDefault="00FF3B71" w:rsidP="007528C7">
      <w:pPr>
        <w:pStyle w:val="ListParagraph2"/>
      </w:pPr>
      <w:r w:rsidRPr="00E87067">
        <w:t xml:space="preserve">Concerns regarding the storage of </w:t>
      </w:r>
      <w:r w:rsidR="009B3AA1">
        <w:t>investigational</w:t>
      </w:r>
      <w:r w:rsidRPr="00E87067">
        <w:t xml:space="preserve"> products, especially security, temperature, and </w:t>
      </w:r>
      <w:r w:rsidR="00CE09DE" w:rsidRPr="00E87067">
        <w:t>moisture,</w:t>
      </w:r>
      <w:r w:rsidRPr="00E87067">
        <w:t xml:space="preserve"> must be rigorously addressed. Some issues include differences in ambient temperature, humidity, sanitation, and security of storage units</w:t>
      </w:r>
      <w:bookmarkStart w:id="314" w:name="12.__References"/>
      <w:bookmarkStart w:id="315" w:name="_Toc25151490"/>
      <w:bookmarkStart w:id="316" w:name="_Ref207332001"/>
      <w:bookmarkStart w:id="317" w:name="_Ref207332046"/>
      <w:bookmarkStart w:id="318" w:name="_Ref207332077"/>
      <w:bookmarkEnd w:id="314"/>
    </w:p>
    <w:p w14:paraId="00E7335A" w14:textId="1900DA7F" w:rsidR="00FF3B71" w:rsidRPr="00E87067" w:rsidRDefault="00FF3B71" w:rsidP="00B76405">
      <w:pPr>
        <w:pStyle w:val="Heading1"/>
      </w:pPr>
      <w:bookmarkStart w:id="319" w:name="_Toc224716376"/>
      <w:r w:rsidRPr="00E87067">
        <w:t>References</w:t>
      </w:r>
      <w:bookmarkEnd w:id="315"/>
      <w:bookmarkEnd w:id="316"/>
      <w:bookmarkEnd w:id="317"/>
      <w:bookmarkEnd w:id="318"/>
      <w:bookmarkEnd w:id="319"/>
    </w:p>
    <w:p w14:paraId="48264507" w14:textId="77777777" w:rsidR="002D1C82" w:rsidRPr="002D1C82" w:rsidRDefault="002D1C82" w:rsidP="002D1C82">
      <w:pPr>
        <w:pStyle w:val="ListParagraph"/>
        <w:numPr>
          <w:ilvl w:val="0"/>
          <w:numId w:val="104"/>
        </w:numPr>
        <w:spacing w:before="240" w:after="240"/>
        <w:contextualSpacing w:val="0"/>
        <w:rPr>
          <w:rFonts w:ascii="Aptos Display" w:eastAsia="Times New Roman" w:hAnsi="Aptos Display" w:cs="Times New Roman"/>
          <w:b/>
          <w:bCs/>
          <w:vanish/>
          <w:color w:val="03569B"/>
          <w:sz w:val="36"/>
          <w:szCs w:val="28"/>
          <w:lang w:bidi="en-US"/>
        </w:rPr>
      </w:pPr>
      <w:bookmarkStart w:id="320" w:name="12.1_Code_of_Federal_Regulations_Title_2"/>
      <w:bookmarkEnd w:id="320"/>
    </w:p>
    <w:p w14:paraId="40A9A856" w14:textId="234C7B63" w:rsidR="00FF3B71" w:rsidRPr="007528C7" w:rsidRDefault="00FF3B71" w:rsidP="002D1C82">
      <w:pPr>
        <w:pStyle w:val="Heading3b"/>
      </w:pPr>
      <w:hyperlink r:id="rId18" w:history="1">
        <w:r w:rsidRPr="007528C7">
          <w:rPr>
            <w:rStyle w:val="Hyperlink"/>
            <w:color w:val="3B3838" w:themeColor="background2" w:themeShade="40"/>
          </w:rPr>
          <w:t>Code of Federal Regulations Title 21 Part 50</w:t>
        </w:r>
      </w:hyperlink>
    </w:p>
    <w:p w14:paraId="47ABBE44" w14:textId="1EF34BD4" w:rsidR="00FF3B71" w:rsidRPr="007528C7" w:rsidRDefault="00FF3B71" w:rsidP="007528C7">
      <w:pPr>
        <w:pStyle w:val="Heading3b"/>
        <w:rPr>
          <w:u w:val="single"/>
        </w:rPr>
      </w:pPr>
      <w:hyperlink r:id="rId19">
        <w:r w:rsidRPr="007528C7">
          <w:rPr>
            <w:rStyle w:val="Hyperlink"/>
            <w:color w:val="3B3838" w:themeColor="background2" w:themeShade="40"/>
          </w:rPr>
          <w:t>Code of Federal Regulations Title 21 Part 312</w:t>
        </w:r>
      </w:hyperlink>
    </w:p>
    <w:bookmarkStart w:id="321" w:name="12.2_Code_of_Federal_Regulations_Title_2"/>
    <w:bookmarkStart w:id="322" w:name="12.3_Code_of_Federal_Regulations_Title_2"/>
    <w:bookmarkEnd w:id="321"/>
    <w:bookmarkEnd w:id="322"/>
    <w:p w14:paraId="22AEFF89" w14:textId="76B0B551" w:rsidR="00FF3B71" w:rsidRPr="007528C7" w:rsidRDefault="00FF3B71" w:rsidP="007528C7">
      <w:pPr>
        <w:pStyle w:val="Heading3b"/>
        <w:rPr>
          <w:u w:val="single"/>
        </w:rPr>
      </w:pPr>
      <w:r w:rsidRPr="007528C7">
        <w:rPr>
          <w:u w:val="single"/>
        </w:rPr>
        <w:fldChar w:fldCharType="begin"/>
      </w:r>
      <w:r w:rsidR="00D0595D" w:rsidRPr="007528C7">
        <w:rPr>
          <w:u w:val="single"/>
        </w:rPr>
        <w:instrText xml:space="preserve">HYPERLINK "https://www.ecfr.gov/current/title-21/chapter-I/subchapter-H/part-812?toc=1" \h </w:instrText>
      </w:r>
      <w:r w:rsidRPr="007528C7">
        <w:rPr>
          <w:u w:val="single"/>
        </w:rPr>
      </w:r>
      <w:r w:rsidRPr="007528C7">
        <w:rPr>
          <w:u w:val="single"/>
        </w:rPr>
        <w:fldChar w:fldCharType="separate"/>
      </w:r>
      <w:r w:rsidRPr="007528C7">
        <w:rPr>
          <w:rStyle w:val="Hyperlink"/>
          <w:color w:val="3B3838" w:themeColor="background2" w:themeShade="40"/>
        </w:rPr>
        <w:t>Code of Federal Regulations Title 21 Part 812</w:t>
      </w:r>
      <w:r w:rsidRPr="007528C7">
        <w:rPr>
          <w:u w:val="single"/>
        </w:rPr>
        <w:fldChar w:fldCharType="end"/>
      </w:r>
    </w:p>
    <w:p w14:paraId="7F99B9A0" w14:textId="7428D231" w:rsidR="003C7E25" w:rsidRPr="007528C7" w:rsidRDefault="003C7E25" w:rsidP="007528C7">
      <w:pPr>
        <w:pStyle w:val="Heading3b"/>
        <w:rPr>
          <w:u w:val="single"/>
        </w:rPr>
      </w:pPr>
      <w:hyperlink r:id="rId20" w:history="1">
        <w:r w:rsidRPr="007528C7">
          <w:rPr>
            <w:rStyle w:val="Hyperlink"/>
            <w:color w:val="3B3838" w:themeColor="background2" w:themeShade="40"/>
          </w:rPr>
          <w:t>Code of Federal Regulation Title 45 Part 46</w:t>
        </w:r>
      </w:hyperlink>
    </w:p>
    <w:p w14:paraId="16C443D5" w14:textId="5D14A60C" w:rsidR="00FF3B71" w:rsidRPr="007528C7" w:rsidRDefault="00FF3B71" w:rsidP="007528C7">
      <w:pPr>
        <w:pStyle w:val="Heading3b"/>
        <w:rPr>
          <w:u w:val="single"/>
        </w:rPr>
      </w:pPr>
      <w:hyperlink r:id="rId21" w:history="1">
        <w:r w:rsidRPr="007528C7">
          <w:rPr>
            <w:rStyle w:val="Hyperlink"/>
            <w:color w:val="3B3838" w:themeColor="background2" w:themeShade="40"/>
          </w:rPr>
          <w:t>Code of Federal Regulations Title 21 Part A Section 353a</w:t>
        </w:r>
      </w:hyperlink>
    </w:p>
    <w:bookmarkStart w:id="323" w:name="12.5_DMID_Policy_of_the_Clinical_Quality"/>
    <w:bookmarkStart w:id="324" w:name="12.6_DMID_Regulatory_File_Document_Guide"/>
    <w:bookmarkStart w:id="325" w:name="12.7_DMID_Source_Documentation_Standards"/>
    <w:bookmarkEnd w:id="323"/>
    <w:bookmarkEnd w:id="324"/>
    <w:bookmarkEnd w:id="325"/>
    <w:p w14:paraId="052D49C4" w14:textId="7C330B20" w:rsidR="00FF3B71" w:rsidRPr="007528C7" w:rsidRDefault="0032439C" w:rsidP="007528C7">
      <w:pPr>
        <w:pStyle w:val="Heading3b"/>
        <w:rPr>
          <w:u w:val="single"/>
        </w:rPr>
      </w:pPr>
      <w:r>
        <w:fldChar w:fldCharType="begin"/>
      </w:r>
      <w:r>
        <w:instrText>HYPERLINK "https://www.ema.europa.eu/en/ich-e6-good-clinical-practice-scientific-guideline"</w:instrText>
      </w:r>
      <w:r>
        <w:fldChar w:fldCharType="separate"/>
      </w:r>
      <w:bookmarkStart w:id="326" w:name="_Ref207334068"/>
      <w:bookmarkStart w:id="327" w:name="_Ref207333835"/>
      <w:bookmarkStart w:id="328" w:name="_Ref207332441"/>
      <w:r w:rsidRPr="007528C7">
        <w:rPr>
          <w:rStyle w:val="Hyperlink"/>
          <w:color w:val="3B3838" w:themeColor="background2" w:themeShade="40"/>
        </w:rPr>
        <w:t>International Conference on Harmonization E6: Good Clinical Practices</w:t>
      </w:r>
      <w:bookmarkEnd w:id="326"/>
      <w:bookmarkEnd w:id="327"/>
      <w:bookmarkEnd w:id="328"/>
      <w:r>
        <w:fldChar w:fldCharType="end"/>
      </w:r>
    </w:p>
    <w:p w14:paraId="35739090" w14:textId="77777777" w:rsidR="00FF3B71" w:rsidRPr="00180D26" w:rsidRDefault="00FF3B71" w:rsidP="007528C7">
      <w:pPr>
        <w:pStyle w:val="Heading3b"/>
      </w:pPr>
      <w:bookmarkStart w:id="329" w:name="12.8_International_Conference_on_Harmoni"/>
      <w:bookmarkStart w:id="330" w:name="12.9_USP-NF_General_Chapter_&lt;659&gt;_Packag"/>
      <w:bookmarkStart w:id="331" w:name="_Ref207333460"/>
      <w:bookmarkEnd w:id="329"/>
      <w:bookmarkEnd w:id="330"/>
      <w:r w:rsidRPr="00180D26">
        <w:t>USP-NF General Chapter &lt;659&gt; Packaging and Storage Requirements</w:t>
      </w:r>
      <w:bookmarkEnd w:id="331"/>
    </w:p>
    <w:p w14:paraId="2D7DAC2C" w14:textId="77777777" w:rsidR="00FF3B71" w:rsidRPr="00B76405" w:rsidRDefault="00FF3B71" w:rsidP="00B76405">
      <w:pPr>
        <w:pStyle w:val="Heading3b"/>
        <w:rPr>
          <w:b w:val="0"/>
        </w:rPr>
      </w:pPr>
      <w:bookmarkStart w:id="332" w:name="12.10_USP-NF_General_Chapter_&lt;795&gt;_Pharm"/>
      <w:bookmarkEnd w:id="332"/>
      <w:r w:rsidRPr="00B76405">
        <w:t>USP-NF General Chapter &lt;795&gt; Pharmaceutical Compounding-Non-sterile Preparations</w:t>
      </w:r>
    </w:p>
    <w:p w14:paraId="4942CEE1" w14:textId="77777777" w:rsidR="00FF3B71" w:rsidRPr="00B76405" w:rsidRDefault="00FF3B71" w:rsidP="00B76405">
      <w:pPr>
        <w:pStyle w:val="Heading3b"/>
        <w:rPr>
          <w:b w:val="0"/>
        </w:rPr>
      </w:pPr>
      <w:bookmarkStart w:id="333" w:name="12.11_USP-NF_General_Chapter_&lt;797&gt;_Pharm"/>
      <w:bookmarkEnd w:id="333"/>
      <w:r w:rsidRPr="00B76405">
        <w:t>USP-NF General Chapter &lt;797&gt; Pharmaceutical Compounding-Sterile Preparations</w:t>
      </w:r>
    </w:p>
    <w:p w14:paraId="23075EBD" w14:textId="77777777" w:rsidR="00FF3B71" w:rsidRPr="00B76405" w:rsidRDefault="00FF3B71" w:rsidP="00B76405">
      <w:pPr>
        <w:pStyle w:val="Heading3b"/>
        <w:rPr>
          <w:b w:val="0"/>
        </w:rPr>
      </w:pPr>
      <w:r w:rsidRPr="00B76405">
        <w:t>USP-NF General Chapter &lt;800&gt; Hazardous Drugs – Handling in Healthcare Settings</w:t>
      </w:r>
    </w:p>
    <w:bookmarkStart w:id="334" w:name="12.12_CDC_Vaccine_Storage_and_Handling_T"/>
    <w:bookmarkEnd w:id="334"/>
    <w:p w14:paraId="6CCA39B2" w14:textId="4D3EB2A0" w:rsidR="00FF3B71" w:rsidRPr="007528C7" w:rsidRDefault="0032439C" w:rsidP="007528C7">
      <w:pPr>
        <w:pStyle w:val="Heading3b"/>
        <w:rPr>
          <w:u w:val="single"/>
        </w:rPr>
      </w:pPr>
      <w:r w:rsidRPr="007528C7">
        <w:rPr>
          <w:u w:val="single"/>
        </w:rPr>
        <w:fldChar w:fldCharType="begin"/>
      </w:r>
      <w:r w:rsidR="001A623F" w:rsidRPr="007528C7">
        <w:rPr>
          <w:u w:val="single"/>
        </w:rPr>
        <w:instrText>HYPERLINK "https://www.cdc.gov/vaccines/hcp/storage-handling/index.html"</w:instrText>
      </w:r>
      <w:r w:rsidRPr="007528C7">
        <w:rPr>
          <w:u w:val="single"/>
        </w:rPr>
      </w:r>
      <w:r w:rsidRPr="007528C7">
        <w:rPr>
          <w:u w:val="single"/>
        </w:rPr>
        <w:fldChar w:fldCharType="separate"/>
      </w:r>
      <w:r w:rsidRPr="007528C7">
        <w:rPr>
          <w:rStyle w:val="Hyperlink"/>
          <w:color w:val="3B3838" w:themeColor="background2" w:themeShade="40"/>
        </w:rPr>
        <w:t>CDC Vaccine Storage and Handling Toolkit</w:t>
      </w:r>
      <w:r w:rsidRPr="007528C7">
        <w:rPr>
          <w:u w:val="single"/>
        </w:rPr>
        <w:fldChar w:fldCharType="end"/>
      </w:r>
    </w:p>
    <w:p w14:paraId="5F12342A" w14:textId="77777777" w:rsidR="00260A26" w:rsidRPr="00083FE3" w:rsidRDefault="008F4FF0" w:rsidP="007528C7">
      <w:pPr>
        <w:pStyle w:val="Heading3b"/>
        <w:rPr>
          <w:u w:val="single"/>
        </w:rPr>
      </w:pPr>
      <w:r>
        <w:rPr>
          <w:u w:val="single"/>
        </w:rPr>
        <w:t xml:space="preserve"> </w:t>
      </w:r>
      <w:hyperlink r:id="rId22" w:history="1">
        <w:r w:rsidR="00B81856" w:rsidRPr="00B76405">
          <w:rPr>
            <w:rStyle w:val="Hyperlink"/>
            <w:color w:val="000000" w:themeColor="text1"/>
          </w:rPr>
          <w:t>DMID PST Temperature Excursion Reporting Form</w:t>
        </w:r>
      </w:hyperlink>
    </w:p>
    <w:p w14:paraId="15FBA05C" w14:textId="0E685D07" w:rsidR="00560812" w:rsidRPr="00083FE3" w:rsidRDefault="00560812" w:rsidP="007528C7">
      <w:pPr>
        <w:pStyle w:val="Heading3b"/>
        <w:rPr>
          <w:u w:val="single"/>
        </w:rPr>
      </w:pPr>
      <w:hyperlink r:id="rId23" w:history="1">
        <w:bookmarkStart w:id="335" w:name="_Ref224650769"/>
        <w:r>
          <w:rPr>
            <w:rStyle w:val="Hyperlink"/>
          </w:rPr>
          <w:t>FDA Guidance: Standardization of Data and Documentation Practices for Product Tracing Guidance for Industry</w:t>
        </w:r>
        <w:bookmarkEnd w:id="335"/>
      </w:hyperlink>
    </w:p>
    <w:p w14:paraId="251454FB" w14:textId="55492957" w:rsidR="00FF3B71" w:rsidRPr="00E87067" w:rsidRDefault="00FF3B71" w:rsidP="00B76405">
      <w:pPr>
        <w:pStyle w:val="Heading1"/>
      </w:pPr>
      <w:bookmarkStart w:id="336" w:name="_Toc25151491"/>
      <w:bookmarkStart w:id="337" w:name="_Toc224716377"/>
      <w:r w:rsidRPr="00E87067">
        <w:t>Availability</w:t>
      </w:r>
      <w:bookmarkEnd w:id="336"/>
      <w:bookmarkEnd w:id="337"/>
    </w:p>
    <w:p w14:paraId="180CE9A4" w14:textId="77777777" w:rsidR="00FF3B71" w:rsidRPr="00E87067" w:rsidRDefault="00FF3B71" w:rsidP="00E87067">
      <w:r w:rsidRPr="00E87067">
        <w:t xml:space="preserve">This document is available electronically by way of the DMID intranet: </w:t>
      </w:r>
      <w:commentRangeStart w:id="338"/>
      <w:r>
        <w:fldChar w:fldCharType="begin"/>
      </w:r>
      <w:r>
        <w:instrText>HYPERLINK "http://collab.niaid.nih.gov/sites/DMID/clinical/SitePages/Home.aspx" \h</w:instrText>
      </w:r>
      <w:r>
        <w:fldChar w:fldCharType="separate"/>
      </w:r>
      <w:r w:rsidRPr="00E87067">
        <w:rPr>
          <w:rStyle w:val="Hyperlink"/>
        </w:rPr>
        <w:t>http://collab.niaid.nih.gov/sites/DMID/clinical/SitePages/Home.aspx</w:t>
      </w:r>
      <w:r>
        <w:fldChar w:fldCharType="end"/>
      </w:r>
      <w:commentRangeEnd w:id="338"/>
      <w:r w:rsidR="00880E89" w:rsidRPr="00E87067">
        <w:rPr>
          <w:rStyle w:val="CommentReference"/>
          <w:sz w:val="22"/>
          <w:szCs w:val="22"/>
        </w:rPr>
        <w:commentReference w:id="338"/>
      </w:r>
    </w:p>
    <w:p w14:paraId="1DC86529" w14:textId="77777777" w:rsidR="00DC1328" w:rsidRDefault="00DC1328" w:rsidP="00E87067"/>
    <w:p w14:paraId="22857276" w14:textId="028AC8F6" w:rsidR="00067D66" w:rsidRPr="00E87067" w:rsidRDefault="003C3A55" w:rsidP="00133F33">
      <w:pPr>
        <w:jc w:val="center"/>
      </w:pPr>
      <w:r>
        <w:t>End of Document</w:t>
      </w:r>
    </w:p>
    <w:sectPr w:rsidR="00067D66" w:rsidRPr="00E87067" w:rsidSect="00952E49">
      <w:pgSz w:w="12240" w:h="15840" w:code="1"/>
      <w:pgMar w:top="1080" w:right="1180" w:bottom="1120" w:left="1140" w:header="576" w:footer="432"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38" w:author="Curtin, Daniel" w:date="2026-03-09T15:57:00Z" w:initials="DC">
    <w:p w14:paraId="2A35F4BA" w14:textId="77777777" w:rsidR="00786D49" w:rsidRDefault="00880E89" w:rsidP="00786D49">
      <w:pPr>
        <w:pStyle w:val="CommentText"/>
      </w:pPr>
      <w:r>
        <w:rPr>
          <w:rStyle w:val="CommentReference"/>
        </w:rPr>
        <w:annotationRef/>
      </w:r>
      <w:r w:rsidR="00786D49">
        <w:t>Jason: please confirm a new link will be added for the location to this document once posted.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35F4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F8C3F3" w16cex:dateUtc="2026-03-09T1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35F4BA" w16cid:durableId="3AF8C3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B11F5" w14:textId="77777777" w:rsidR="00030B16" w:rsidRDefault="00030B16" w:rsidP="00A332AF">
      <w:pPr>
        <w:spacing w:after="0" w:line="240" w:lineRule="auto"/>
      </w:pPr>
      <w:r>
        <w:separator/>
      </w:r>
    </w:p>
  </w:endnote>
  <w:endnote w:type="continuationSeparator" w:id="0">
    <w:p w14:paraId="1A5A57C7" w14:textId="77777777" w:rsidR="00030B16" w:rsidRDefault="00030B16" w:rsidP="00A3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cstheme="minorBidi"/>
        <w:lang w:bidi="ar-SA"/>
      </w:rPr>
      <w:id w:val="1464692133"/>
      <w:docPartObj>
        <w:docPartGallery w:val="Page Numbers (Bottom of Page)"/>
        <w:docPartUnique/>
      </w:docPartObj>
    </w:sdtPr>
    <w:sdtContent>
      <w:sdt>
        <w:sdtPr>
          <w:rPr>
            <w:rFonts w:eastAsiaTheme="minorEastAsia" w:cstheme="minorBidi"/>
            <w:lang w:bidi="ar-SA"/>
          </w:rPr>
          <w:id w:val="1728636285"/>
          <w:docPartObj>
            <w:docPartGallery w:val="Page Numbers (Top of Page)"/>
            <w:docPartUnique/>
          </w:docPartObj>
        </w:sdtPr>
        <w:sdtContent>
          <w:p w14:paraId="52C8DA91" w14:textId="77777777" w:rsidR="00952E49" w:rsidRPr="007528C7" w:rsidRDefault="00952E49" w:rsidP="00952E49">
            <w:pPr>
              <w:pStyle w:val="Footer"/>
              <w:spacing w:before="240"/>
              <w:jc w:val="center"/>
              <w:rPr>
                <w:color w:val="767171" w:themeColor="background2" w:themeShade="80"/>
                <w:sz w:val="20"/>
                <w:szCs w:val="20"/>
              </w:rPr>
            </w:pPr>
            <w:r w:rsidRPr="007528C7">
              <w:rPr>
                <w:color w:val="767171" w:themeColor="background2" w:themeShade="80"/>
                <w:sz w:val="20"/>
                <w:szCs w:val="20"/>
              </w:rPr>
              <w:t xml:space="preserve">Page </w:t>
            </w:r>
            <w:r w:rsidRPr="007528C7">
              <w:rPr>
                <w:color w:val="767171" w:themeColor="background2" w:themeShade="80"/>
                <w:sz w:val="20"/>
                <w:szCs w:val="20"/>
              </w:rPr>
              <w:fldChar w:fldCharType="begin"/>
            </w:r>
            <w:r w:rsidRPr="007528C7">
              <w:rPr>
                <w:color w:val="767171" w:themeColor="background2" w:themeShade="80"/>
                <w:sz w:val="20"/>
                <w:szCs w:val="20"/>
              </w:rPr>
              <w:instrText xml:space="preserve"> PAGE </w:instrText>
            </w:r>
            <w:r w:rsidRPr="007528C7">
              <w:rPr>
                <w:color w:val="767171" w:themeColor="background2" w:themeShade="80"/>
                <w:sz w:val="20"/>
                <w:szCs w:val="20"/>
              </w:rPr>
              <w:fldChar w:fldCharType="separate"/>
            </w:r>
            <w:r>
              <w:rPr>
                <w:color w:val="767171" w:themeColor="background2" w:themeShade="80"/>
                <w:sz w:val="20"/>
                <w:szCs w:val="20"/>
              </w:rPr>
              <w:t>41</w:t>
            </w:r>
            <w:r w:rsidRPr="007528C7">
              <w:rPr>
                <w:color w:val="767171" w:themeColor="background2" w:themeShade="80"/>
                <w:sz w:val="20"/>
                <w:szCs w:val="20"/>
              </w:rPr>
              <w:fldChar w:fldCharType="end"/>
            </w:r>
            <w:r w:rsidRPr="007528C7">
              <w:rPr>
                <w:color w:val="767171" w:themeColor="background2" w:themeShade="80"/>
                <w:sz w:val="20"/>
                <w:szCs w:val="20"/>
              </w:rPr>
              <w:t xml:space="preserve"> of </w:t>
            </w:r>
            <w:r w:rsidRPr="007528C7">
              <w:rPr>
                <w:color w:val="767171" w:themeColor="background2" w:themeShade="80"/>
                <w:sz w:val="20"/>
                <w:szCs w:val="20"/>
              </w:rPr>
              <w:fldChar w:fldCharType="begin"/>
            </w:r>
            <w:r w:rsidRPr="007528C7">
              <w:rPr>
                <w:color w:val="767171" w:themeColor="background2" w:themeShade="80"/>
                <w:sz w:val="20"/>
                <w:szCs w:val="20"/>
              </w:rPr>
              <w:instrText xml:space="preserve"> NUMPAGES  </w:instrText>
            </w:r>
            <w:r w:rsidRPr="007528C7">
              <w:rPr>
                <w:color w:val="767171" w:themeColor="background2" w:themeShade="80"/>
                <w:sz w:val="20"/>
                <w:szCs w:val="20"/>
              </w:rPr>
              <w:fldChar w:fldCharType="separate"/>
            </w:r>
            <w:r>
              <w:rPr>
                <w:color w:val="767171" w:themeColor="background2" w:themeShade="80"/>
                <w:sz w:val="20"/>
                <w:szCs w:val="20"/>
              </w:rPr>
              <w:t>42</w:t>
            </w:r>
            <w:r w:rsidRPr="007528C7">
              <w:rPr>
                <w:color w:val="767171" w:themeColor="background2" w:themeShade="80"/>
                <w:sz w:val="20"/>
                <w:szCs w:val="20"/>
              </w:rPr>
              <w:fldChar w:fldCharType="end"/>
            </w:r>
          </w:p>
          <w:p w14:paraId="6E29BDF3" w14:textId="3ABDC175" w:rsidR="00711C74" w:rsidRPr="007528C7" w:rsidRDefault="00952E49" w:rsidP="007528C7">
            <w:pPr>
              <w:spacing w:before="0" w:after="0"/>
              <w:jc w:val="center"/>
              <w:rPr>
                <w:color w:val="767171" w:themeColor="background2" w:themeShade="80"/>
              </w:rPr>
            </w:pPr>
            <w:r w:rsidRPr="007528C7">
              <w:rPr>
                <w:color w:val="767171" w:themeColor="background2" w:themeShade="80"/>
                <w:sz w:val="20"/>
                <w:szCs w:val="20"/>
              </w:rPr>
              <w:t xml:space="preserve">DMID Guidelines for Clinical Investigational Product Management </w:t>
            </w:r>
            <w:r w:rsidR="00036505" w:rsidRPr="007528C7">
              <w:rPr>
                <w:color w:val="767171" w:themeColor="background2" w:themeShade="80"/>
                <w:sz w:val="20"/>
                <w:szCs w:val="20"/>
              </w:rPr>
              <w:t>v2.0</w:t>
            </w:r>
            <w:r w:rsidRPr="007528C7">
              <w:rPr>
                <w:color w:val="767171" w:themeColor="background2" w:themeShade="80"/>
                <w:sz w:val="20"/>
                <w:szCs w:val="20"/>
              </w:rPr>
              <w:t xml:space="preserve"> </w:t>
            </w:r>
            <w:r w:rsidR="00E76FAD">
              <w:rPr>
                <w:color w:val="767171" w:themeColor="background2" w:themeShade="80"/>
                <w:sz w:val="20"/>
                <w:szCs w:val="20"/>
              </w:rPr>
              <w:t>25Feb</w:t>
            </w:r>
            <w:r w:rsidRPr="007528C7">
              <w:rPr>
                <w:color w:val="767171" w:themeColor="background2" w:themeShade="80"/>
                <w:sz w:val="20"/>
                <w:szCs w:val="20"/>
              </w:rPr>
              <w:t>202</w:t>
            </w:r>
            <w:r w:rsidR="00E76FAD">
              <w:rPr>
                <w:color w:val="767171" w:themeColor="background2" w:themeShade="80"/>
                <w:sz w:val="20"/>
                <w:szCs w:val="20"/>
              </w:rPr>
              <w:t>6</w:t>
            </w:r>
            <w:r w:rsidRPr="00F51C24">
              <w:rPr>
                <w:color w:val="767171" w:themeColor="background2" w:themeShade="80"/>
                <w:sz w:val="20"/>
                <w:szCs w:val="20"/>
              </w:rPr>
              <w:br/>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41F50" w14:textId="77777777" w:rsidR="00030B16" w:rsidRDefault="00030B16" w:rsidP="00A332AF">
      <w:pPr>
        <w:spacing w:after="0" w:line="240" w:lineRule="auto"/>
      </w:pPr>
      <w:r>
        <w:separator/>
      </w:r>
    </w:p>
  </w:footnote>
  <w:footnote w:type="continuationSeparator" w:id="0">
    <w:p w14:paraId="22AA4485" w14:textId="77777777" w:rsidR="00030B16" w:rsidRDefault="00030B16" w:rsidP="00A33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5D6"/>
    <w:multiLevelType w:val="hybridMultilevel"/>
    <w:tmpl w:val="E7F2B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D229B"/>
    <w:multiLevelType w:val="hybridMultilevel"/>
    <w:tmpl w:val="79C01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B3394"/>
    <w:multiLevelType w:val="hybridMultilevel"/>
    <w:tmpl w:val="CE02A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AF28E1"/>
    <w:multiLevelType w:val="hybridMultilevel"/>
    <w:tmpl w:val="1108E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9A6C67"/>
    <w:multiLevelType w:val="hybridMultilevel"/>
    <w:tmpl w:val="EEB42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205637"/>
    <w:multiLevelType w:val="hybridMultilevel"/>
    <w:tmpl w:val="6CB0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AE123E"/>
    <w:multiLevelType w:val="hybridMultilevel"/>
    <w:tmpl w:val="A598309A"/>
    <w:lvl w:ilvl="0" w:tplc="CD84C9F2">
      <w:start w:val="1"/>
      <w:numFmt w:val="bullet"/>
      <w:lvlText w:val="o"/>
      <w:lvlJc w:val="left"/>
      <w:pPr>
        <w:ind w:left="720" w:hanging="360"/>
      </w:pPr>
      <w:rPr>
        <w:rFonts w:ascii="Courier New" w:hAnsi="Courier New" w:cs="Courier New" w:hint="default"/>
        <w:color w:val="0060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3526CD"/>
    <w:multiLevelType w:val="hybridMultilevel"/>
    <w:tmpl w:val="6B32D17E"/>
    <w:lvl w:ilvl="0" w:tplc="0409000F">
      <w:start w:val="1"/>
      <w:numFmt w:val="decimal"/>
      <w:lvlText w:val="%1."/>
      <w:lvlJc w:val="left"/>
      <w:pPr>
        <w:ind w:left="1008"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07560F76"/>
    <w:multiLevelType w:val="singleLevel"/>
    <w:tmpl w:val="C0C4BC5C"/>
    <w:lvl w:ilvl="0">
      <w:start w:val="1"/>
      <w:numFmt w:val="bullet"/>
      <w:lvlText w:val="o"/>
      <w:lvlJc w:val="left"/>
      <w:pPr>
        <w:ind w:left="1440" w:hanging="360"/>
      </w:pPr>
      <w:rPr>
        <w:rFonts w:ascii="Courier New" w:hAnsi="Courier New" w:cs="Courier New" w:hint="default"/>
        <w:color w:val="0060A8"/>
      </w:rPr>
    </w:lvl>
  </w:abstractNum>
  <w:abstractNum w:abstractNumId="9" w15:restartNumberingAfterBreak="0">
    <w:nsid w:val="07D64048"/>
    <w:multiLevelType w:val="hybridMultilevel"/>
    <w:tmpl w:val="B0345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E87F94"/>
    <w:multiLevelType w:val="multilevel"/>
    <w:tmpl w:val="E9027CC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color w:val="0070C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94C5974"/>
    <w:multiLevelType w:val="hybridMultilevel"/>
    <w:tmpl w:val="F51234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0A0F18FC"/>
    <w:multiLevelType w:val="multilevel"/>
    <w:tmpl w:val="5F0A6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0060A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AE34593"/>
    <w:multiLevelType w:val="multilevel"/>
    <w:tmpl w:val="A45E25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0060A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BED3AF9"/>
    <w:multiLevelType w:val="hybridMultilevel"/>
    <w:tmpl w:val="59FA1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3E4D4E"/>
    <w:multiLevelType w:val="hybridMultilevel"/>
    <w:tmpl w:val="E17C0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CD3375"/>
    <w:multiLevelType w:val="hybridMultilevel"/>
    <w:tmpl w:val="9ADA4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393D76"/>
    <w:multiLevelType w:val="hybridMultilevel"/>
    <w:tmpl w:val="45E6E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CE1758"/>
    <w:multiLevelType w:val="hybridMultilevel"/>
    <w:tmpl w:val="EF24E82C"/>
    <w:lvl w:ilvl="0" w:tplc="6CFECE6A">
      <w:start w:val="1"/>
      <w:numFmt w:val="bullet"/>
      <w:lvlText w:val="o"/>
      <w:lvlJc w:val="left"/>
      <w:pPr>
        <w:ind w:left="720" w:hanging="360"/>
      </w:pPr>
      <w:rPr>
        <w:rFonts w:ascii="Courier New" w:hAnsi="Courier New" w:cs="Courier New" w:hint="default"/>
        <w:color w:val="0060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E36C75"/>
    <w:multiLevelType w:val="hybridMultilevel"/>
    <w:tmpl w:val="4B626756"/>
    <w:lvl w:ilvl="0" w:tplc="C6F2E2CA">
      <w:start w:val="1"/>
      <w:numFmt w:val="decimal"/>
      <w:lvlText w:val="%1."/>
      <w:lvlJc w:val="left"/>
      <w:pPr>
        <w:ind w:left="1020" w:hanging="360"/>
      </w:pPr>
    </w:lvl>
    <w:lvl w:ilvl="1" w:tplc="24A07448">
      <w:start w:val="1"/>
      <w:numFmt w:val="decimal"/>
      <w:lvlText w:val="%2."/>
      <w:lvlJc w:val="left"/>
      <w:pPr>
        <w:ind w:left="1020" w:hanging="360"/>
      </w:pPr>
    </w:lvl>
    <w:lvl w:ilvl="2" w:tplc="5B8A2E76">
      <w:start w:val="1"/>
      <w:numFmt w:val="decimal"/>
      <w:lvlText w:val="%3."/>
      <w:lvlJc w:val="left"/>
      <w:pPr>
        <w:ind w:left="1020" w:hanging="360"/>
      </w:pPr>
    </w:lvl>
    <w:lvl w:ilvl="3" w:tplc="D578F49A">
      <w:start w:val="1"/>
      <w:numFmt w:val="decimal"/>
      <w:lvlText w:val="%4."/>
      <w:lvlJc w:val="left"/>
      <w:pPr>
        <w:ind w:left="1020" w:hanging="360"/>
      </w:pPr>
    </w:lvl>
    <w:lvl w:ilvl="4" w:tplc="639AA464">
      <w:start w:val="1"/>
      <w:numFmt w:val="decimal"/>
      <w:lvlText w:val="%5."/>
      <w:lvlJc w:val="left"/>
      <w:pPr>
        <w:ind w:left="1020" w:hanging="360"/>
      </w:pPr>
    </w:lvl>
    <w:lvl w:ilvl="5" w:tplc="35D45700">
      <w:start w:val="1"/>
      <w:numFmt w:val="decimal"/>
      <w:lvlText w:val="%6."/>
      <w:lvlJc w:val="left"/>
      <w:pPr>
        <w:ind w:left="1020" w:hanging="360"/>
      </w:pPr>
    </w:lvl>
    <w:lvl w:ilvl="6" w:tplc="0430E06C">
      <w:start w:val="1"/>
      <w:numFmt w:val="decimal"/>
      <w:lvlText w:val="%7."/>
      <w:lvlJc w:val="left"/>
      <w:pPr>
        <w:ind w:left="1020" w:hanging="360"/>
      </w:pPr>
    </w:lvl>
    <w:lvl w:ilvl="7" w:tplc="3FAAC1F4">
      <w:start w:val="1"/>
      <w:numFmt w:val="decimal"/>
      <w:lvlText w:val="%8."/>
      <w:lvlJc w:val="left"/>
      <w:pPr>
        <w:ind w:left="1020" w:hanging="360"/>
      </w:pPr>
    </w:lvl>
    <w:lvl w:ilvl="8" w:tplc="3ABA7C8A">
      <w:start w:val="1"/>
      <w:numFmt w:val="decimal"/>
      <w:lvlText w:val="%9."/>
      <w:lvlJc w:val="left"/>
      <w:pPr>
        <w:ind w:left="1020" w:hanging="360"/>
      </w:pPr>
    </w:lvl>
  </w:abstractNum>
  <w:abstractNum w:abstractNumId="20" w15:restartNumberingAfterBreak="0">
    <w:nsid w:val="123B27FA"/>
    <w:multiLevelType w:val="hybridMultilevel"/>
    <w:tmpl w:val="B4BC3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4995BDB"/>
    <w:multiLevelType w:val="hybridMultilevel"/>
    <w:tmpl w:val="72023B38"/>
    <w:lvl w:ilvl="0" w:tplc="F800BBB2">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5330D29"/>
    <w:multiLevelType w:val="multilevel"/>
    <w:tmpl w:val="D488FE2A"/>
    <w:numStyleLink w:val="DMIDGuidelinesListStyle"/>
  </w:abstractNum>
  <w:abstractNum w:abstractNumId="23" w15:restartNumberingAfterBreak="0">
    <w:nsid w:val="1590576A"/>
    <w:multiLevelType w:val="multilevel"/>
    <w:tmpl w:val="4BA8F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0060A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64E6C25"/>
    <w:multiLevelType w:val="hybridMultilevel"/>
    <w:tmpl w:val="3AAEA8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66A2358"/>
    <w:multiLevelType w:val="multilevel"/>
    <w:tmpl w:val="D488FE2A"/>
    <w:numStyleLink w:val="DMIDGuidelinesListStyle"/>
  </w:abstractNum>
  <w:abstractNum w:abstractNumId="26" w15:restartNumberingAfterBreak="0">
    <w:nsid w:val="16F728D5"/>
    <w:multiLevelType w:val="hybridMultilevel"/>
    <w:tmpl w:val="73CCC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75F3B45"/>
    <w:multiLevelType w:val="hybridMultilevel"/>
    <w:tmpl w:val="BA4EDEA4"/>
    <w:lvl w:ilvl="0" w:tplc="D09EBD40">
      <w:start w:val="1"/>
      <w:numFmt w:val="bullet"/>
      <w:lvlText w:val="o"/>
      <w:lvlJc w:val="left"/>
      <w:pPr>
        <w:ind w:left="720" w:hanging="360"/>
      </w:pPr>
      <w:rPr>
        <w:rFonts w:ascii="Courier New" w:hAnsi="Courier New" w:cs="Courier New" w:hint="default"/>
        <w:color w:val="0060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4179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9D77D2E"/>
    <w:multiLevelType w:val="hybridMultilevel"/>
    <w:tmpl w:val="31D4F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A207B19"/>
    <w:multiLevelType w:val="multilevel"/>
    <w:tmpl w:val="BF14F270"/>
    <w:numStyleLink w:val="BulletListStyle"/>
  </w:abstractNum>
  <w:abstractNum w:abstractNumId="31" w15:restartNumberingAfterBreak="0">
    <w:nsid w:val="1B7C18A1"/>
    <w:multiLevelType w:val="hybridMultilevel"/>
    <w:tmpl w:val="D49275F0"/>
    <w:lvl w:ilvl="0" w:tplc="04090001">
      <w:start w:val="1"/>
      <w:numFmt w:val="bullet"/>
      <w:lvlText w:val=""/>
      <w:lvlJc w:val="left"/>
      <w:pPr>
        <w:ind w:left="720" w:hanging="360"/>
      </w:pPr>
      <w:rPr>
        <w:rFonts w:ascii="Symbol" w:hAnsi="Symbol" w:hint="default"/>
      </w:rPr>
    </w:lvl>
    <w:lvl w:ilvl="1" w:tplc="F9B2DFD8">
      <w:start w:val="1"/>
      <w:numFmt w:val="bullet"/>
      <w:lvlText w:val="o"/>
      <w:lvlJc w:val="left"/>
      <w:pPr>
        <w:ind w:left="1440" w:hanging="360"/>
      </w:pPr>
      <w:rPr>
        <w:rFonts w:ascii="Courier New" w:hAnsi="Courier New" w:cs="Courier New" w:hint="default"/>
        <w:color w:val="0060A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D17238E"/>
    <w:multiLevelType w:val="hybridMultilevel"/>
    <w:tmpl w:val="6952D0C0"/>
    <w:lvl w:ilvl="0" w:tplc="9B36E118">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E2361A1"/>
    <w:multiLevelType w:val="hybridMultilevel"/>
    <w:tmpl w:val="2DF43860"/>
    <w:lvl w:ilvl="0" w:tplc="4BD460EC">
      <w:start w:val="1"/>
      <w:numFmt w:val="bullet"/>
      <w:lvlText w:val="o"/>
      <w:lvlJc w:val="left"/>
      <w:pPr>
        <w:ind w:left="720" w:hanging="360"/>
      </w:pPr>
      <w:rPr>
        <w:rFonts w:ascii="Courier New" w:hAnsi="Courier New" w:cs="Courier New" w:hint="default"/>
        <w:color w:val="0060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E3F00D0"/>
    <w:multiLevelType w:val="multilevel"/>
    <w:tmpl w:val="CB5629F0"/>
    <w:lvl w:ilvl="0">
      <w:start w:val="1"/>
      <w:numFmt w:val="bullet"/>
      <w:lvlText w:val="o"/>
      <w:lvlJc w:val="left"/>
      <w:pPr>
        <w:ind w:left="1440" w:hanging="360"/>
      </w:pPr>
      <w:rPr>
        <w:rFonts w:ascii="Courier New" w:hAnsi="Courier New" w:cs="Courier New" w:hint="default"/>
        <w:color w:val="0060A8"/>
      </w:rPr>
    </w:lvl>
    <w:lvl w:ilvl="1">
      <w:start w:val="1"/>
      <w:numFmt w:val="bullet"/>
      <w:lvlText w:val="o"/>
      <w:lvlJc w:val="left"/>
      <w:pPr>
        <w:ind w:left="2160" w:hanging="360"/>
      </w:pPr>
      <w:rPr>
        <w:rFonts w:ascii="Courier New" w:hAnsi="Courier New" w:hint="default"/>
        <w:color w:val="0070C0"/>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5" w15:restartNumberingAfterBreak="0">
    <w:nsid w:val="1F9F60E1"/>
    <w:multiLevelType w:val="multilevel"/>
    <w:tmpl w:val="BF14F270"/>
    <w:numStyleLink w:val="BulletListStyle"/>
  </w:abstractNum>
  <w:abstractNum w:abstractNumId="36" w15:restartNumberingAfterBreak="0">
    <w:nsid w:val="2160288A"/>
    <w:multiLevelType w:val="hybridMultilevel"/>
    <w:tmpl w:val="DC7C1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1B67DF1"/>
    <w:multiLevelType w:val="hybridMultilevel"/>
    <w:tmpl w:val="7D1E6B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221C3784"/>
    <w:multiLevelType w:val="hybridMultilevel"/>
    <w:tmpl w:val="FB3496D0"/>
    <w:lvl w:ilvl="0" w:tplc="0DBA1B96">
      <w:start w:val="1"/>
      <w:numFmt w:val="bullet"/>
      <w:lvlText w:val="o"/>
      <w:lvlJc w:val="left"/>
      <w:pPr>
        <w:ind w:left="720" w:hanging="360"/>
      </w:pPr>
      <w:rPr>
        <w:rFonts w:ascii="Courier New" w:hAnsi="Courier New" w:cs="Courier New" w:hint="default"/>
        <w:color w:val="0060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2AE23FE"/>
    <w:multiLevelType w:val="hybridMultilevel"/>
    <w:tmpl w:val="12188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3FE6FCB"/>
    <w:multiLevelType w:val="hybridMultilevel"/>
    <w:tmpl w:val="2B3CE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4AB6698"/>
    <w:multiLevelType w:val="hybridMultilevel"/>
    <w:tmpl w:val="47BE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54B6D1C"/>
    <w:multiLevelType w:val="hybridMultilevel"/>
    <w:tmpl w:val="2F2E3E70"/>
    <w:lvl w:ilvl="0" w:tplc="FFFFFFFF">
      <w:start w:val="1"/>
      <w:numFmt w:val="bullet"/>
      <w:pStyle w:val="Bulletlisting"/>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5D35C06"/>
    <w:multiLevelType w:val="hybridMultilevel"/>
    <w:tmpl w:val="6BD410C0"/>
    <w:lvl w:ilvl="0" w:tplc="1808486E">
      <w:start w:val="1"/>
      <w:numFmt w:val="bullet"/>
      <w:lvlText w:val="o"/>
      <w:lvlJc w:val="left"/>
      <w:pPr>
        <w:ind w:left="720" w:hanging="360"/>
      </w:pPr>
      <w:rPr>
        <w:rFonts w:ascii="Courier New" w:hAnsi="Courier New" w:cs="Courier New" w:hint="default"/>
        <w:color w:val="0060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A3201EB"/>
    <w:multiLevelType w:val="hybridMultilevel"/>
    <w:tmpl w:val="91944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A8F7096"/>
    <w:multiLevelType w:val="hybridMultilevel"/>
    <w:tmpl w:val="D2CE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B772DCE"/>
    <w:multiLevelType w:val="hybridMultilevel"/>
    <w:tmpl w:val="9B36D852"/>
    <w:lvl w:ilvl="0" w:tplc="4FBA0D3A">
      <w:start w:val="1"/>
      <w:numFmt w:val="bullet"/>
      <w:lvlText w:val="o"/>
      <w:lvlJc w:val="left"/>
      <w:pPr>
        <w:ind w:left="720" w:hanging="360"/>
      </w:pPr>
      <w:rPr>
        <w:rFonts w:ascii="Courier New" w:hAnsi="Courier New" w:cs="Courier New" w:hint="default"/>
        <w:color w:val="0060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C3E04C9"/>
    <w:multiLevelType w:val="hybridMultilevel"/>
    <w:tmpl w:val="0B74D348"/>
    <w:lvl w:ilvl="0" w:tplc="07D24FC2">
      <w:start w:val="1"/>
      <w:numFmt w:val="bullet"/>
      <w:lvlText w:val="o"/>
      <w:lvlJc w:val="left"/>
      <w:pPr>
        <w:ind w:left="720" w:hanging="360"/>
      </w:pPr>
      <w:rPr>
        <w:rFonts w:ascii="Courier New" w:hAnsi="Courier New" w:cs="Courier New" w:hint="default"/>
        <w:color w:val="0060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C4346A7"/>
    <w:multiLevelType w:val="hybridMultilevel"/>
    <w:tmpl w:val="1966AF16"/>
    <w:lvl w:ilvl="0" w:tplc="5832E3B0">
      <w:start w:val="1"/>
      <w:numFmt w:val="bullet"/>
      <w:lvlText w:val="o"/>
      <w:lvlJc w:val="left"/>
      <w:pPr>
        <w:ind w:left="720" w:hanging="360"/>
      </w:pPr>
      <w:rPr>
        <w:rFonts w:ascii="Courier New" w:hAnsi="Courier New" w:cs="Courier New" w:hint="default"/>
        <w:color w:val="0060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D3D2750"/>
    <w:multiLevelType w:val="hybridMultilevel"/>
    <w:tmpl w:val="E4927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E9C40F3"/>
    <w:multiLevelType w:val="multilevel"/>
    <w:tmpl w:val="D488FE2A"/>
    <w:styleLink w:val="DMIDGuidelinesListStyle"/>
    <w:lvl w:ilvl="0">
      <w:start w:val="1"/>
      <w:numFmt w:val="decimal"/>
      <w:pStyle w:val="ListHeader"/>
      <w:suff w:val="space"/>
      <w:lvlText w:val="%1. "/>
      <w:lvlJc w:val="left"/>
      <w:pPr>
        <w:ind w:left="360" w:hanging="360"/>
      </w:pPr>
      <w:rPr>
        <w:rFonts w:ascii="Aptos" w:hAnsi="Aptos" w:hint="default"/>
        <w:b/>
        <w:i w:val="0"/>
        <w:color w:val="03569B"/>
        <w:sz w:val="36"/>
      </w:rPr>
    </w:lvl>
    <w:lvl w:ilvl="1">
      <w:start w:val="1"/>
      <w:numFmt w:val="decimal"/>
      <w:pStyle w:val="Heading3b"/>
      <w:suff w:val="space"/>
      <w:lvlText w:val="%1.%2. "/>
      <w:lvlJc w:val="left"/>
      <w:pPr>
        <w:ind w:left="432" w:hanging="432"/>
      </w:pPr>
      <w:rPr>
        <w:rFonts w:ascii="Aptos" w:hAnsi="Aptos" w:hint="default"/>
        <w:b/>
        <w:i w:val="0"/>
        <w:color w:val="3B3838" w:themeColor="background2" w:themeShade="40"/>
        <w:sz w:val="22"/>
      </w:rPr>
    </w:lvl>
    <w:lvl w:ilvl="2">
      <w:start w:val="1"/>
      <w:numFmt w:val="decimal"/>
      <w:pStyle w:val="ListStyle3"/>
      <w:suff w:val="space"/>
      <w:lvlText w:val="%1.%2.%3. "/>
      <w:lvlJc w:val="left"/>
      <w:pPr>
        <w:ind w:left="1224" w:hanging="504"/>
      </w:pPr>
      <w:rPr>
        <w:rFonts w:ascii="Aptos" w:hAnsi="Aptos" w:hint="default"/>
        <w:b w:val="0"/>
        <w:i w:val="0"/>
        <w:color w:val="03569B"/>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2F29004A"/>
    <w:multiLevelType w:val="hybridMultilevel"/>
    <w:tmpl w:val="98849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09343BC"/>
    <w:multiLevelType w:val="hybridMultilevel"/>
    <w:tmpl w:val="80469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0EF0F10"/>
    <w:multiLevelType w:val="hybridMultilevel"/>
    <w:tmpl w:val="0498AF10"/>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54" w15:restartNumberingAfterBreak="0">
    <w:nsid w:val="315A18ED"/>
    <w:multiLevelType w:val="hybridMultilevel"/>
    <w:tmpl w:val="C5A02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1622F88"/>
    <w:multiLevelType w:val="hybridMultilevel"/>
    <w:tmpl w:val="7898D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1F37948"/>
    <w:multiLevelType w:val="hybridMultilevel"/>
    <w:tmpl w:val="2ADE0244"/>
    <w:lvl w:ilvl="0" w:tplc="2B26AB40">
      <w:start w:val="1"/>
      <w:numFmt w:val="bullet"/>
      <w:lvlText w:val="o"/>
      <w:lvlJc w:val="left"/>
      <w:pPr>
        <w:ind w:left="720" w:hanging="360"/>
      </w:pPr>
      <w:rPr>
        <w:rFonts w:ascii="Courier New" w:hAnsi="Courier New" w:cs="Courier New" w:hint="default"/>
        <w:color w:val="0060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3480DD0"/>
    <w:multiLevelType w:val="hybridMultilevel"/>
    <w:tmpl w:val="972AC1E0"/>
    <w:lvl w:ilvl="0" w:tplc="34CCC6E4">
      <w:start w:val="1"/>
      <w:numFmt w:val="bullet"/>
      <w:lvlText w:val="o"/>
      <w:lvlJc w:val="left"/>
      <w:pPr>
        <w:ind w:left="720" w:hanging="360"/>
      </w:pPr>
      <w:rPr>
        <w:rFonts w:ascii="Courier New" w:hAnsi="Courier New" w:cs="Courier New" w:hint="default"/>
        <w:color w:val="0060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48F7E28"/>
    <w:multiLevelType w:val="hybridMultilevel"/>
    <w:tmpl w:val="17D2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4BD7CE7"/>
    <w:multiLevelType w:val="hybridMultilevel"/>
    <w:tmpl w:val="08727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58E58A3"/>
    <w:multiLevelType w:val="hybridMultilevel"/>
    <w:tmpl w:val="4768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5AA0512"/>
    <w:multiLevelType w:val="hybridMultilevel"/>
    <w:tmpl w:val="46B87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5BD5D1E"/>
    <w:multiLevelType w:val="hybridMultilevel"/>
    <w:tmpl w:val="3B489FA8"/>
    <w:lvl w:ilvl="0" w:tplc="576E96EC">
      <w:start w:val="1"/>
      <w:numFmt w:val="bullet"/>
      <w:lvlText w:val="o"/>
      <w:lvlJc w:val="left"/>
      <w:pPr>
        <w:ind w:left="720" w:hanging="360"/>
      </w:pPr>
      <w:rPr>
        <w:rFonts w:ascii="Courier New" w:hAnsi="Courier New" w:cs="Courier New" w:hint="default"/>
        <w:color w:val="0060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7475662"/>
    <w:multiLevelType w:val="hybridMultilevel"/>
    <w:tmpl w:val="69348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7975025"/>
    <w:multiLevelType w:val="hybridMultilevel"/>
    <w:tmpl w:val="3B2A159A"/>
    <w:lvl w:ilvl="0" w:tplc="2B6078E0">
      <w:start w:val="1"/>
      <w:numFmt w:val="bullet"/>
      <w:lvlText w:val="o"/>
      <w:lvlJc w:val="left"/>
      <w:pPr>
        <w:ind w:left="720" w:hanging="360"/>
      </w:pPr>
      <w:rPr>
        <w:rFonts w:ascii="Courier New" w:hAnsi="Courier New" w:cs="Courier New" w:hint="default"/>
        <w:color w:val="0060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87054B7"/>
    <w:multiLevelType w:val="hybridMultilevel"/>
    <w:tmpl w:val="556C7222"/>
    <w:lvl w:ilvl="0" w:tplc="04090001">
      <w:start w:val="1"/>
      <w:numFmt w:val="bullet"/>
      <w:lvlText w:val=""/>
      <w:lvlJc w:val="left"/>
      <w:pPr>
        <w:ind w:left="2736" w:hanging="360"/>
      </w:pPr>
      <w:rPr>
        <w:rFonts w:ascii="Symbol" w:hAnsi="Symbol"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66" w15:restartNumberingAfterBreak="0">
    <w:nsid w:val="391817FF"/>
    <w:multiLevelType w:val="hybridMultilevel"/>
    <w:tmpl w:val="9A7AE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9367B64"/>
    <w:multiLevelType w:val="hybridMultilevel"/>
    <w:tmpl w:val="E474D304"/>
    <w:lvl w:ilvl="0" w:tplc="04090003">
      <w:start w:val="1"/>
      <w:numFmt w:val="bullet"/>
      <w:lvlText w:val="o"/>
      <w:lvlJc w:val="left"/>
      <w:pPr>
        <w:ind w:left="1236" w:hanging="360"/>
      </w:pPr>
      <w:rPr>
        <w:rFonts w:ascii="Courier New" w:hAnsi="Courier New" w:cs="Courier New" w:hint="default"/>
      </w:rPr>
    </w:lvl>
    <w:lvl w:ilvl="1" w:tplc="04090003" w:tentative="1">
      <w:start w:val="1"/>
      <w:numFmt w:val="bullet"/>
      <w:lvlText w:val="o"/>
      <w:lvlJc w:val="left"/>
      <w:pPr>
        <w:ind w:left="1956" w:hanging="360"/>
      </w:pPr>
      <w:rPr>
        <w:rFonts w:ascii="Courier New" w:hAnsi="Courier New" w:cs="Courier New" w:hint="default"/>
      </w:rPr>
    </w:lvl>
    <w:lvl w:ilvl="2" w:tplc="04090005" w:tentative="1">
      <w:start w:val="1"/>
      <w:numFmt w:val="bullet"/>
      <w:lvlText w:val=""/>
      <w:lvlJc w:val="left"/>
      <w:pPr>
        <w:ind w:left="2676" w:hanging="360"/>
      </w:pPr>
      <w:rPr>
        <w:rFonts w:ascii="Wingdings" w:hAnsi="Wingdings" w:hint="default"/>
      </w:rPr>
    </w:lvl>
    <w:lvl w:ilvl="3" w:tplc="04090001" w:tentative="1">
      <w:start w:val="1"/>
      <w:numFmt w:val="bullet"/>
      <w:lvlText w:val=""/>
      <w:lvlJc w:val="left"/>
      <w:pPr>
        <w:ind w:left="3396" w:hanging="360"/>
      </w:pPr>
      <w:rPr>
        <w:rFonts w:ascii="Symbol" w:hAnsi="Symbol" w:hint="default"/>
      </w:rPr>
    </w:lvl>
    <w:lvl w:ilvl="4" w:tplc="04090003" w:tentative="1">
      <w:start w:val="1"/>
      <w:numFmt w:val="bullet"/>
      <w:lvlText w:val="o"/>
      <w:lvlJc w:val="left"/>
      <w:pPr>
        <w:ind w:left="4116" w:hanging="360"/>
      </w:pPr>
      <w:rPr>
        <w:rFonts w:ascii="Courier New" w:hAnsi="Courier New" w:cs="Courier New" w:hint="default"/>
      </w:rPr>
    </w:lvl>
    <w:lvl w:ilvl="5" w:tplc="04090005" w:tentative="1">
      <w:start w:val="1"/>
      <w:numFmt w:val="bullet"/>
      <w:lvlText w:val=""/>
      <w:lvlJc w:val="left"/>
      <w:pPr>
        <w:ind w:left="4836" w:hanging="360"/>
      </w:pPr>
      <w:rPr>
        <w:rFonts w:ascii="Wingdings" w:hAnsi="Wingdings" w:hint="default"/>
      </w:rPr>
    </w:lvl>
    <w:lvl w:ilvl="6" w:tplc="04090001" w:tentative="1">
      <w:start w:val="1"/>
      <w:numFmt w:val="bullet"/>
      <w:lvlText w:val=""/>
      <w:lvlJc w:val="left"/>
      <w:pPr>
        <w:ind w:left="5556" w:hanging="360"/>
      </w:pPr>
      <w:rPr>
        <w:rFonts w:ascii="Symbol" w:hAnsi="Symbol" w:hint="default"/>
      </w:rPr>
    </w:lvl>
    <w:lvl w:ilvl="7" w:tplc="04090003" w:tentative="1">
      <w:start w:val="1"/>
      <w:numFmt w:val="bullet"/>
      <w:lvlText w:val="o"/>
      <w:lvlJc w:val="left"/>
      <w:pPr>
        <w:ind w:left="6276" w:hanging="360"/>
      </w:pPr>
      <w:rPr>
        <w:rFonts w:ascii="Courier New" w:hAnsi="Courier New" w:cs="Courier New" w:hint="default"/>
      </w:rPr>
    </w:lvl>
    <w:lvl w:ilvl="8" w:tplc="04090005" w:tentative="1">
      <w:start w:val="1"/>
      <w:numFmt w:val="bullet"/>
      <w:lvlText w:val=""/>
      <w:lvlJc w:val="left"/>
      <w:pPr>
        <w:ind w:left="6996" w:hanging="360"/>
      </w:pPr>
      <w:rPr>
        <w:rFonts w:ascii="Wingdings" w:hAnsi="Wingdings" w:hint="default"/>
      </w:rPr>
    </w:lvl>
  </w:abstractNum>
  <w:abstractNum w:abstractNumId="68" w15:restartNumberingAfterBreak="0">
    <w:nsid w:val="393E422A"/>
    <w:multiLevelType w:val="hybridMultilevel"/>
    <w:tmpl w:val="1DE2A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A225D92"/>
    <w:multiLevelType w:val="hybridMultilevel"/>
    <w:tmpl w:val="D2A0C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BB01F72"/>
    <w:multiLevelType w:val="multilevel"/>
    <w:tmpl w:val="D488FE2A"/>
    <w:numStyleLink w:val="DMIDGuidelinesListStyle"/>
  </w:abstractNum>
  <w:abstractNum w:abstractNumId="71" w15:restartNumberingAfterBreak="0">
    <w:nsid w:val="3C2B049D"/>
    <w:multiLevelType w:val="hybridMultilevel"/>
    <w:tmpl w:val="65922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C914CEF"/>
    <w:multiLevelType w:val="hybridMultilevel"/>
    <w:tmpl w:val="3DF2C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CF5312F"/>
    <w:multiLevelType w:val="multilevel"/>
    <w:tmpl w:val="BF14F270"/>
    <w:numStyleLink w:val="BulletListStyle"/>
  </w:abstractNum>
  <w:abstractNum w:abstractNumId="74" w15:restartNumberingAfterBreak="0">
    <w:nsid w:val="3D366F1E"/>
    <w:multiLevelType w:val="hybridMultilevel"/>
    <w:tmpl w:val="39AA7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0177AAE"/>
    <w:multiLevelType w:val="hybridMultilevel"/>
    <w:tmpl w:val="765C4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1511CE"/>
    <w:multiLevelType w:val="multilevel"/>
    <w:tmpl w:val="BF14F270"/>
    <w:numStyleLink w:val="BulletListStyle"/>
  </w:abstractNum>
  <w:abstractNum w:abstractNumId="77" w15:restartNumberingAfterBreak="0">
    <w:nsid w:val="43AE28AD"/>
    <w:multiLevelType w:val="hybridMultilevel"/>
    <w:tmpl w:val="40823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41C2B7A"/>
    <w:multiLevelType w:val="hybridMultilevel"/>
    <w:tmpl w:val="27289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44C4BAC"/>
    <w:multiLevelType w:val="hybridMultilevel"/>
    <w:tmpl w:val="532C5A30"/>
    <w:lvl w:ilvl="0" w:tplc="5D58673C">
      <w:start w:val="1"/>
      <w:numFmt w:val="bullet"/>
      <w:lvlText w:val="o"/>
      <w:lvlJc w:val="left"/>
      <w:pPr>
        <w:ind w:left="720" w:hanging="360"/>
      </w:pPr>
      <w:rPr>
        <w:rFonts w:ascii="Courier New" w:hAnsi="Courier New" w:cs="Courier New" w:hint="default"/>
        <w:color w:val="0060A8"/>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4C7370E"/>
    <w:multiLevelType w:val="hybridMultilevel"/>
    <w:tmpl w:val="C52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5F5065E"/>
    <w:multiLevelType w:val="multilevel"/>
    <w:tmpl w:val="D488FE2A"/>
    <w:numStyleLink w:val="DMIDGuidelinesListStyle"/>
  </w:abstractNum>
  <w:abstractNum w:abstractNumId="82" w15:restartNumberingAfterBreak="0">
    <w:nsid w:val="471E003B"/>
    <w:multiLevelType w:val="hybridMultilevel"/>
    <w:tmpl w:val="02BE7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7485444"/>
    <w:multiLevelType w:val="hybridMultilevel"/>
    <w:tmpl w:val="E5664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9D41392"/>
    <w:multiLevelType w:val="hybridMultilevel"/>
    <w:tmpl w:val="F3CEEF1E"/>
    <w:lvl w:ilvl="0" w:tplc="F0FEDDFE">
      <w:start w:val="1"/>
      <w:numFmt w:val="bullet"/>
      <w:lvlText w:val="o"/>
      <w:lvlJc w:val="left"/>
      <w:pPr>
        <w:ind w:left="720" w:hanging="360"/>
      </w:pPr>
      <w:rPr>
        <w:rFonts w:ascii="Courier New" w:hAnsi="Courier New" w:cs="Courier New" w:hint="default"/>
        <w:color w:val="0060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D9C216D"/>
    <w:multiLevelType w:val="hybridMultilevel"/>
    <w:tmpl w:val="AC362676"/>
    <w:lvl w:ilvl="0" w:tplc="EBCC80E4">
      <w:start w:val="1"/>
      <w:numFmt w:val="bullet"/>
      <w:lvlText w:val="o"/>
      <w:lvlJc w:val="left"/>
      <w:pPr>
        <w:ind w:left="720" w:hanging="360"/>
      </w:pPr>
      <w:rPr>
        <w:rFonts w:ascii="Courier New" w:hAnsi="Courier New" w:cs="Courier New" w:hint="default"/>
        <w:color w:val="0060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E474F12"/>
    <w:multiLevelType w:val="multilevel"/>
    <w:tmpl w:val="B0C87220"/>
    <w:lvl w:ilvl="0">
      <w:start w:val="1"/>
      <w:numFmt w:val="decimal"/>
      <w:suff w:val="space"/>
      <w:lvlText w:val="%1. "/>
      <w:lvlJc w:val="left"/>
      <w:pPr>
        <w:ind w:left="360" w:hanging="360"/>
      </w:pPr>
      <w:rPr>
        <w:rFonts w:ascii="Aptos" w:hAnsi="Aptos" w:hint="default"/>
        <w:b/>
        <w:i w:val="0"/>
        <w:color w:val="03569B"/>
        <w:sz w:val="36"/>
      </w:rPr>
    </w:lvl>
    <w:lvl w:ilvl="1">
      <w:start w:val="1"/>
      <w:numFmt w:val="decimal"/>
      <w:lvlText w:val="%1.%2."/>
      <w:lvlJc w:val="left"/>
      <w:pPr>
        <w:ind w:left="432" w:hanging="432"/>
      </w:pPr>
      <w:rPr>
        <w:rFonts w:ascii="Aptos" w:hAnsi="Aptos" w:hint="default"/>
        <w:b/>
        <w:i w:val="0"/>
        <w:color w:val="3B3838" w:themeColor="background2" w:themeShade="40"/>
        <w:sz w:val="22"/>
      </w:rPr>
    </w:lvl>
    <w:lvl w:ilvl="2">
      <w:start w:val="1"/>
      <w:numFmt w:val="decimal"/>
      <w:lvlText w:val="%1.%2.%3."/>
      <w:lvlJc w:val="left"/>
      <w:pPr>
        <w:ind w:left="1224" w:hanging="504"/>
      </w:pPr>
      <w:rPr>
        <w:rFonts w:ascii="Aptos" w:hAnsi="Aptos" w:hint="default"/>
        <w:b w:val="0"/>
        <w:i w:val="0"/>
        <w:color w:val="03569B"/>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50384BE4"/>
    <w:multiLevelType w:val="hybridMultilevel"/>
    <w:tmpl w:val="565A4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14A3A1E"/>
    <w:multiLevelType w:val="hybridMultilevel"/>
    <w:tmpl w:val="A38C9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229237A"/>
    <w:multiLevelType w:val="hybridMultilevel"/>
    <w:tmpl w:val="C8060E92"/>
    <w:lvl w:ilvl="0" w:tplc="3322F156">
      <w:start w:val="1"/>
      <w:numFmt w:val="bullet"/>
      <w:lvlText w:val="o"/>
      <w:lvlJc w:val="left"/>
      <w:pPr>
        <w:ind w:left="720" w:hanging="360"/>
      </w:pPr>
      <w:rPr>
        <w:rFonts w:ascii="Courier New" w:hAnsi="Courier New" w:cs="Courier New" w:hint="default"/>
        <w:color w:val="0060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4534541"/>
    <w:multiLevelType w:val="hybridMultilevel"/>
    <w:tmpl w:val="12AA8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4DC3985"/>
    <w:multiLevelType w:val="hybridMultilevel"/>
    <w:tmpl w:val="B9241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6914082"/>
    <w:multiLevelType w:val="hybridMultilevel"/>
    <w:tmpl w:val="FBC2CF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56FD62E9"/>
    <w:multiLevelType w:val="multilevel"/>
    <w:tmpl w:val="D488FE2A"/>
    <w:numStyleLink w:val="DMIDGuidelinesListStyle"/>
  </w:abstractNum>
  <w:abstractNum w:abstractNumId="94" w15:restartNumberingAfterBreak="0">
    <w:nsid w:val="5B1E5D95"/>
    <w:multiLevelType w:val="hybridMultilevel"/>
    <w:tmpl w:val="EAC07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D973695"/>
    <w:multiLevelType w:val="hybridMultilevel"/>
    <w:tmpl w:val="3D2AD8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6" w15:restartNumberingAfterBreak="0">
    <w:nsid w:val="5DB3727F"/>
    <w:multiLevelType w:val="multilevel"/>
    <w:tmpl w:val="BF14F270"/>
    <w:styleLink w:val="BulletListStyle"/>
    <w:lvl w:ilvl="0">
      <w:start w:val="1"/>
      <w:numFmt w:val="bullet"/>
      <w:pStyle w:val="ListParagraph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color w:val="0070C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DC76B81"/>
    <w:multiLevelType w:val="hybridMultilevel"/>
    <w:tmpl w:val="00B6C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FA749DF"/>
    <w:multiLevelType w:val="hybridMultilevel"/>
    <w:tmpl w:val="F2C87C96"/>
    <w:lvl w:ilvl="0" w:tplc="24148DC6">
      <w:start w:val="1"/>
      <w:numFmt w:val="bullet"/>
      <w:lvlText w:val="o"/>
      <w:lvlJc w:val="left"/>
      <w:pPr>
        <w:ind w:left="720" w:hanging="360"/>
      </w:pPr>
      <w:rPr>
        <w:rFonts w:ascii="Courier New" w:hAnsi="Courier New" w:cs="Courier New" w:hint="default"/>
        <w:color w:val="0060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186165F"/>
    <w:multiLevelType w:val="hybridMultilevel"/>
    <w:tmpl w:val="EFBEE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1A254FF"/>
    <w:multiLevelType w:val="hybridMultilevel"/>
    <w:tmpl w:val="01403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1C16E52"/>
    <w:multiLevelType w:val="hybridMultilevel"/>
    <w:tmpl w:val="A544B158"/>
    <w:lvl w:ilvl="0" w:tplc="2EA01C02">
      <w:start w:val="1"/>
      <w:numFmt w:val="bullet"/>
      <w:lvlText w:val="o"/>
      <w:lvlJc w:val="left"/>
      <w:pPr>
        <w:ind w:left="720" w:hanging="360"/>
      </w:pPr>
      <w:rPr>
        <w:rFonts w:ascii="Courier New" w:hAnsi="Courier New" w:cs="Courier New" w:hint="default"/>
        <w:color w:val="0060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2482D95"/>
    <w:multiLevelType w:val="multilevel"/>
    <w:tmpl w:val="A366FE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0060A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62BA3F3D"/>
    <w:multiLevelType w:val="hybridMultilevel"/>
    <w:tmpl w:val="8698E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4943F0A"/>
    <w:multiLevelType w:val="hybridMultilevel"/>
    <w:tmpl w:val="219CAAA6"/>
    <w:lvl w:ilvl="0" w:tplc="04090001">
      <w:start w:val="1"/>
      <w:numFmt w:val="bullet"/>
      <w:lvlText w:val=""/>
      <w:lvlJc w:val="left"/>
      <w:pPr>
        <w:ind w:left="720" w:hanging="360"/>
      </w:pPr>
      <w:rPr>
        <w:rFonts w:ascii="Symbol" w:hAnsi="Symbol" w:hint="default"/>
      </w:rPr>
    </w:lvl>
    <w:lvl w:ilvl="1" w:tplc="1028493E">
      <w:start w:val="1"/>
      <w:numFmt w:val="bullet"/>
      <w:lvlText w:val="o"/>
      <w:lvlJc w:val="left"/>
      <w:pPr>
        <w:ind w:left="1440" w:hanging="360"/>
      </w:pPr>
      <w:rPr>
        <w:rFonts w:ascii="Courier New" w:hAnsi="Courier New" w:cs="Courier New" w:hint="default"/>
        <w:color w:val="0060A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58E514D"/>
    <w:multiLevelType w:val="hybridMultilevel"/>
    <w:tmpl w:val="6686B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A033F0F"/>
    <w:multiLevelType w:val="multilevel"/>
    <w:tmpl w:val="BF14F270"/>
    <w:numStyleLink w:val="BulletListStyle"/>
  </w:abstractNum>
  <w:abstractNum w:abstractNumId="107" w15:restartNumberingAfterBreak="0">
    <w:nsid w:val="6A934FBF"/>
    <w:multiLevelType w:val="hybridMultilevel"/>
    <w:tmpl w:val="80885E88"/>
    <w:lvl w:ilvl="0" w:tplc="F61C2B3C">
      <w:start w:val="1"/>
      <w:numFmt w:val="bullet"/>
      <w:lvlText w:val="o"/>
      <w:lvlJc w:val="left"/>
      <w:pPr>
        <w:ind w:left="720" w:hanging="360"/>
      </w:pPr>
      <w:rPr>
        <w:rFonts w:ascii="Courier New" w:hAnsi="Courier New" w:cs="Courier New" w:hint="default"/>
        <w:color w:val="0060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AF3416C"/>
    <w:multiLevelType w:val="hybridMultilevel"/>
    <w:tmpl w:val="2370E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B2C3D33"/>
    <w:multiLevelType w:val="hybridMultilevel"/>
    <w:tmpl w:val="14E63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BC951EB"/>
    <w:multiLevelType w:val="hybridMultilevel"/>
    <w:tmpl w:val="CAB647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CED066D"/>
    <w:multiLevelType w:val="hybridMultilevel"/>
    <w:tmpl w:val="C0E25828"/>
    <w:lvl w:ilvl="0" w:tplc="8160B116">
      <w:start w:val="1"/>
      <w:numFmt w:val="bullet"/>
      <w:lvlText w:val="o"/>
      <w:lvlJc w:val="left"/>
      <w:pPr>
        <w:ind w:left="720" w:hanging="360"/>
      </w:pPr>
      <w:rPr>
        <w:rFonts w:ascii="Courier New" w:hAnsi="Courier New" w:cs="Courier New" w:hint="default"/>
        <w:color w:val="0060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DAB077E"/>
    <w:multiLevelType w:val="hybridMultilevel"/>
    <w:tmpl w:val="24729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FAA0FA3"/>
    <w:multiLevelType w:val="hybridMultilevel"/>
    <w:tmpl w:val="491C3A8A"/>
    <w:lvl w:ilvl="0" w:tplc="4AF06E50">
      <w:start w:val="1"/>
      <w:numFmt w:val="decimal"/>
      <w:lvlText w:val="%1."/>
      <w:lvlJc w:val="left"/>
      <w:pPr>
        <w:ind w:left="1020" w:hanging="360"/>
      </w:pPr>
    </w:lvl>
    <w:lvl w:ilvl="1" w:tplc="74A687CA">
      <w:start w:val="1"/>
      <w:numFmt w:val="decimal"/>
      <w:lvlText w:val="%2."/>
      <w:lvlJc w:val="left"/>
      <w:pPr>
        <w:ind w:left="1020" w:hanging="360"/>
      </w:pPr>
    </w:lvl>
    <w:lvl w:ilvl="2" w:tplc="C442B6C2">
      <w:start w:val="1"/>
      <w:numFmt w:val="decimal"/>
      <w:lvlText w:val="%3."/>
      <w:lvlJc w:val="left"/>
      <w:pPr>
        <w:ind w:left="1020" w:hanging="360"/>
      </w:pPr>
    </w:lvl>
    <w:lvl w:ilvl="3" w:tplc="B82029AC">
      <w:start w:val="1"/>
      <w:numFmt w:val="decimal"/>
      <w:lvlText w:val="%4."/>
      <w:lvlJc w:val="left"/>
      <w:pPr>
        <w:ind w:left="1020" w:hanging="360"/>
      </w:pPr>
    </w:lvl>
    <w:lvl w:ilvl="4" w:tplc="24BCA5BE">
      <w:start w:val="1"/>
      <w:numFmt w:val="decimal"/>
      <w:lvlText w:val="%5."/>
      <w:lvlJc w:val="left"/>
      <w:pPr>
        <w:ind w:left="1020" w:hanging="360"/>
      </w:pPr>
    </w:lvl>
    <w:lvl w:ilvl="5" w:tplc="091481AC">
      <w:start w:val="1"/>
      <w:numFmt w:val="decimal"/>
      <w:lvlText w:val="%6."/>
      <w:lvlJc w:val="left"/>
      <w:pPr>
        <w:ind w:left="1020" w:hanging="360"/>
      </w:pPr>
    </w:lvl>
    <w:lvl w:ilvl="6" w:tplc="20BC1BD8">
      <w:start w:val="1"/>
      <w:numFmt w:val="decimal"/>
      <w:lvlText w:val="%7."/>
      <w:lvlJc w:val="left"/>
      <w:pPr>
        <w:ind w:left="1020" w:hanging="360"/>
      </w:pPr>
    </w:lvl>
    <w:lvl w:ilvl="7" w:tplc="95845C3C">
      <w:start w:val="1"/>
      <w:numFmt w:val="decimal"/>
      <w:lvlText w:val="%8."/>
      <w:lvlJc w:val="left"/>
      <w:pPr>
        <w:ind w:left="1020" w:hanging="360"/>
      </w:pPr>
    </w:lvl>
    <w:lvl w:ilvl="8" w:tplc="E8A8114C">
      <w:start w:val="1"/>
      <w:numFmt w:val="decimal"/>
      <w:lvlText w:val="%9."/>
      <w:lvlJc w:val="left"/>
      <w:pPr>
        <w:ind w:left="1020" w:hanging="360"/>
      </w:pPr>
    </w:lvl>
  </w:abstractNum>
  <w:abstractNum w:abstractNumId="114" w15:restartNumberingAfterBreak="0">
    <w:nsid w:val="70634D4F"/>
    <w:multiLevelType w:val="hybridMultilevel"/>
    <w:tmpl w:val="98825AD0"/>
    <w:lvl w:ilvl="0" w:tplc="68E216BA">
      <w:start w:val="1"/>
      <w:numFmt w:val="bullet"/>
      <w:lvlText w:val="o"/>
      <w:lvlJc w:val="left"/>
      <w:pPr>
        <w:ind w:left="1620" w:hanging="360"/>
      </w:pPr>
      <w:rPr>
        <w:rFonts w:ascii="Courier New" w:hAnsi="Courier New" w:cs="Courier New" w:hint="default"/>
        <w:color w:val="0060A8"/>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5" w15:restartNumberingAfterBreak="0">
    <w:nsid w:val="71CF711C"/>
    <w:multiLevelType w:val="hybridMultilevel"/>
    <w:tmpl w:val="14FEC0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29804EB"/>
    <w:multiLevelType w:val="multilevel"/>
    <w:tmpl w:val="BF14F270"/>
    <w:numStyleLink w:val="BulletListStyle"/>
  </w:abstractNum>
  <w:abstractNum w:abstractNumId="117" w15:restartNumberingAfterBreak="0">
    <w:nsid w:val="739F7BF3"/>
    <w:multiLevelType w:val="multilevel"/>
    <w:tmpl w:val="6D609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74302F9E"/>
    <w:multiLevelType w:val="hybridMultilevel"/>
    <w:tmpl w:val="03EE36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68C2A35"/>
    <w:multiLevelType w:val="hybridMultilevel"/>
    <w:tmpl w:val="C24E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6D800F7"/>
    <w:multiLevelType w:val="multilevel"/>
    <w:tmpl w:val="D488FE2A"/>
    <w:numStyleLink w:val="DMIDGuidelinesListStyle"/>
  </w:abstractNum>
  <w:abstractNum w:abstractNumId="121" w15:restartNumberingAfterBreak="0">
    <w:nsid w:val="76E62CC5"/>
    <w:multiLevelType w:val="hybridMultilevel"/>
    <w:tmpl w:val="6F1AC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7793D0C"/>
    <w:multiLevelType w:val="hybridMultilevel"/>
    <w:tmpl w:val="C8807734"/>
    <w:lvl w:ilvl="0" w:tplc="7DBC2F58">
      <w:start w:val="1"/>
      <w:numFmt w:val="bullet"/>
      <w:lvlText w:val="o"/>
      <w:lvlJc w:val="left"/>
      <w:pPr>
        <w:ind w:left="720" w:hanging="360"/>
      </w:pPr>
      <w:rPr>
        <w:rFonts w:ascii="Courier New" w:hAnsi="Courier New" w:cs="Courier New" w:hint="default"/>
        <w:color w:val="0060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A1A1601"/>
    <w:multiLevelType w:val="hybridMultilevel"/>
    <w:tmpl w:val="CB90F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ABD7A20"/>
    <w:multiLevelType w:val="hybridMultilevel"/>
    <w:tmpl w:val="B552A788"/>
    <w:lvl w:ilvl="0" w:tplc="BAF6242E">
      <w:start w:val="1"/>
      <w:numFmt w:val="bullet"/>
      <w:lvlText w:val="o"/>
      <w:lvlJc w:val="left"/>
      <w:pPr>
        <w:ind w:left="720" w:hanging="360"/>
      </w:pPr>
      <w:rPr>
        <w:rFonts w:ascii="Courier New" w:hAnsi="Courier New" w:cs="Courier New" w:hint="default"/>
        <w:color w:val="0060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B605C35"/>
    <w:multiLevelType w:val="hybridMultilevel"/>
    <w:tmpl w:val="1AD4A914"/>
    <w:lvl w:ilvl="0" w:tplc="04090001">
      <w:start w:val="1"/>
      <w:numFmt w:val="bullet"/>
      <w:lvlText w:val=""/>
      <w:lvlJc w:val="left"/>
      <w:pPr>
        <w:ind w:left="720" w:hanging="360"/>
      </w:pPr>
      <w:rPr>
        <w:rFonts w:ascii="Symbol" w:hAnsi="Symbol" w:hint="default"/>
      </w:rPr>
    </w:lvl>
    <w:lvl w:ilvl="1" w:tplc="E022FD6A">
      <w:start w:val="1"/>
      <w:numFmt w:val="bullet"/>
      <w:lvlText w:val="o"/>
      <w:lvlJc w:val="left"/>
      <w:pPr>
        <w:ind w:left="1440" w:hanging="360"/>
      </w:pPr>
      <w:rPr>
        <w:rFonts w:ascii="Courier New" w:hAnsi="Courier New" w:cs="Courier New" w:hint="default"/>
        <w:color w:val="0060A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F4D050B"/>
    <w:multiLevelType w:val="hybridMultilevel"/>
    <w:tmpl w:val="5C7EB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4834344">
    <w:abstractNumId w:val="42"/>
  </w:num>
  <w:num w:numId="2" w16cid:durableId="694578386">
    <w:abstractNumId w:val="22"/>
    <w:lvlOverride w:ilvl="2">
      <w:lvl w:ilvl="2">
        <w:start w:val="1"/>
        <w:numFmt w:val="decimal"/>
        <w:lvlText w:val="%1.%2.%3."/>
        <w:lvlJc w:val="left"/>
        <w:pPr>
          <w:ind w:left="1224" w:hanging="504"/>
        </w:pPr>
        <w:rPr>
          <w:rFonts w:ascii="Aptos" w:hAnsi="Aptos" w:hint="default"/>
          <w:b w:val="0"/>
          <w:i w:val="0"/>
          <w:color w:val="03569B"/>
          <w:sz w:val="22"/>
        </w:rPr>
      </w:lvl>
    </w:lvlOverride>
  </w:num>
  <w:num w:numId="3" w16cid:durableId="440415442">
    <w:abstractNumId w:val="95"/>
  </w:num>
  <w:num w:numId="4" w16cid:durableId="1895922839">
    <w:abstractNumId w:val="11"/>
  </w:num>
  <w:num w:numId="5" w16cid:durableId="1502549622">
    <w:abstractNumId w:val="29"/>
  </w:num>
  <w:num w:numId="6" w16cid:durableId="2140830784">
    <w:abstractNumId w:val="115"/>
  </w:num>
  <w:num w:numId="7" w16cid:durableId="416557866">
    <w:abstractNumId w:val="92"/>
  </w:num>
  <w:num w:numId="8" w16cid:durableId="1242450504">
    <w:abstractNumId w:val="87"/>
  </w:num>
  <w:num w:numId="9" w16cid:durableId="2101944846">
    <w:abstractNumId w:val="101"/>
  </w:num>
  <w:num w:numId="10" w16cid:durableId="842818562">
    <w:abstractNumId w:val="16"/>
  </w:num>
  <w:num w:numId="11" w16cid:durableId="1246570573">
    <w:abstractNumId w:val="88"/>
  </w:num>
  <w:num w:numId="12" w16cid:durableId="931746026">
    <w:abstractNumId w:val="2"/>
  </w:num>
  <w:num w:numId="13" w16cid:durableId="558134163">
    <w:abstractNumId w:val="122"/>
  </w:num>
  <w:num w:numId="14" w16cid:durableId="1960642097">
    <w:abstractNumId w:val="105"/>
  </w:num>
  <w:num w:numId="15" w16cid:durableId="495613271">
    <w:abstractNumId w:val="72"/>
  </w:num>
  <w:num w:numId="16" w16cid:durableId="1722705863">
    <w:abstractNumId w:val="48"/>
  </w:num>
  <w:num w:numId="17" w16cid:durableId="1574438023">
    <w:abstractNumId w:val="85"/>
  </w:num>
  <w:num w:numId="18" w16cid:durableId="815605011">
    <w:abstractNumId w:val="83"/>
  </w:num>
  <w:num w:numId="19" w16cid:durableId="418260596">
    <w:abstractNumId w:val="44"/>
  </w:num>
  <w:num w:numId="20" w16cid:durableId="24523175">
    <w:abstractNumId w:val="58"/>
  </w:num>
  <w:num w:numId="21" w16cid:durableId="1408185004">
    <w:abstractNumId w:val="110"/>
  </w:num>
  <w:num w:numId="22" w16cid:durableId="450562221">
    <w:abstractNumId w:val="1"/>
  </w:num>
  <w:num w:numId="23" w16cid:durableId="1695036430">
    <w:abstractNumId w:val="118"/>
  </w:num>
  <w:num w:numId="24" w16cid:durableId="949580602">
    <w:abstractNumId w:val="106"/>
  </w:num>
  <w:num w:numId="25" w16cid:durableId="522600309">
    <w:abstractNumId w:val="43"/>
  </w:num>
  <w:num w:numId="26" w16cid:durableId="1672946399">
    <w:abstractNumId w:val="31"/>
  </w:num>
  <w:num w:numId="27" w16cid:durableId="2059741571">
    <w:abstractNumId w:val="14"/>
  </w:num>
  <w:num w:numId="28" w16cid:durableId="108092629">
    <w:abstractNumId w:val="64"/>
  </w:num>
  <w:num w:numId="29" w16cid:durableId="242490423">
    <w:abstractNumId w:val="49"/>
  </w:num>
  <w:num w:numId="30" w16cid:durableId="922640151">
    <w:abstractNumId w:val="125"/>
  </w:num>
  <w:num w:numId="31" w16cid:durableId="1388917955">
    <w:abstractNumId w:val="104"/>
  </w:num>
  <w:num w:numId="32" w16cid:durableId="1591501439">
    <w:abstractNumId w:val="123"/>
  </w:num>
  <w:num w:numId="33" w16cid:durableId="1418281531">
    <w:abstractNumId w:val="62"/>
  </w:num>
  <w:num w:numId="34" w16cid:durableId="547843861">
    <w:abstractNumId w:val="119"/>
  </w:num>
  <w:num w:numId="35" w16cid:durableId="315650510">
    <w:abstractNumId w:val="124"/>
  </w:num>
  <w:num w:numId="36" w16cid:durableId="1415131769">
    <w:abstractNumId w:val="0"/>
  </w:num>
  <w:num w:numId="37" w16cid:durableId="743643927">
    <w:abstractNumId w:val="45"/>
  </w:num>
  <w:num w:numId="38" w16cid:durableId="1112821389">
    <w:abstractNumId w:val="68"/>
  </w:num>
  <w:num w:numId="39" w16cid:durableId="67927498">
    <w:abstractNumId w:val="57"/>
  </w:num>
  <w:num w:numId="40" w16cid:durableId="1821343363">
    <w:abstractNumId w:val="108"/>
  </w:num>
  <w:num w:numId="41" w16cid:durableId="190803994">
    <w:abstractNumId w:val="98"/>
  </w:num>
  <w:num w:numId="42" w16cid:durableId="1573806753">
    <w:abstractNumId w:val="59"/>
  </w:num>
  <w:num w:numId="43" w16cid:durableId="297225323">
    <w:abstractNumId w:val="82"/>
  </w:num>
  <w:num w:numId="44" w16cid:durableId="1543783565">
    <w:abstractNumId w:val="69"/>
  </w:num>
  <w:num w:numId="45" w16cid:durableId="1503008178">
    <w:abstractNumId w:val="84"/>
  </w:num>
  <w:num w:numId="46" w16cid:durableId="998386228">
    <w:abstractNumId w:val="36"/>
  </w:num>
  <w:num w:numId="47" w16cid:durableId="1590196497">
    <w:abstractNumId w:val="4"/>
  </w:num>
  <w:num w:numId="48" w16cid:durableId="1920165380">
    <w:abstractNumId w:val="6"/>
  </w:num>
  <w:num w:numId="49" w16cid:durableId="1086223028">
    <w:abstractNumId w:val="66"/>
  </w:num>
  <w:num w:numId="50" w16cid:durableId="364408532">
    <w:abstractNumId w:val="40"/>
  </w:num>
  <w:num w:numId="51" w16cid:durableId="997269498">
    <w:abstractNumId w:val="33"/>
  </w:num>
  <w:num w:numId="52" w16cid:durableId="1947539123">
    <w:abstractNumId w:val="26"/>
  </w:num>
  <w:num w:numId="53" w16cid:durableId="385879204">
    <w:abstractNumId w:val="56"/>
  </w:num>
  <w:num w:numId="54" w16cid:durableId="2082678128">
    <w:abstractNumId w:val="97"/>
  </w:num>
  <w:num w:numId="55" w16cid:durableId="39790472">
    <w:abstractNumId w:val="94"/>
  </w:num>
  <w:num w:numId="56" w16cid:durableId="1799373122">
    <w:abstractNumId w:val="47"/>
  </w:num>
  <w:num w:numId="57" w16cid:durableId="1242637964">
    <w:abstractNumId w:val="103"/>
  </w:num>
  <w:num w:numId="58" w16cid:durableId="741948465">
    <w:abstractNumId w:val="5"/>
  </w:num>
  <w:num w:numId="59" w16cid:durableId="1550458821">
    <w:abstractNumId w:val="17"/>
  </w:num>
  <w:num w:numId="60" w16cid:durableId="224461441">
    <w:abstractNumId w:val="39"/>
  </w:num>
  <w:num w:numId="61" w16cid:durableId="1149978344">
    <w:abstractNumId w:val="46"/>
  </w:num>
  <w:num w:numId="62" w16cid:durableId="1265454542">
    <w:abstractNumId w:val="75"/>
  </w:num>
  <w:num w:numId="63" w16cid:durableId="398210053">
    <w:abstractNumId w:val="126"/>
  </w:num>
  <w:num w:numId="64" w16cid:durableId="1091973210">
    <w:abstractNumId w:val="18"/>
  </w:num>
  <w:num w:numId="65" w16cid:durableId="1357271073">
    <w:abstractNumId w:val="99"/>
  </w:num>
  <w:num w:numId="66" w16cid:durableId="1237085023">
    <w:abstractNumId w:val="15"/>
  </w:num>
  <w:num w:numId="67" w16cid:durableId="117918214">
    <w:abstractNumId w:val="38"/>
  </w:num>
  <w:num w:numId="68" w16cid:durableId="90519203">
    <w:abstractNumId w:val="80"/>
  </w:num>
  <w:num w:numId="69" w16cid:durableId="872183371">
    <w:abstractNumId w:val="63"/>
  </w:num>
  <w:num w:numId="70" w16cid:durableId="1046566574">
    <w:abstractNumId w:val="27"/>
  </w:num>
  <w:num w:numId="71" w16cid:durableId="459304301">
    <w:abstractNumId w:val="9"/>
  </w:num>
  <w:num w:numId="72" w16cid:durableId="620457814">
    <w:abstractNumId w:val="109"/>
  </w:num>
  <w:num w:numId="73" w16cid:durableId="974215653">
    <w:abstractNumId w:val="55"/>
  </w:num>
  <w:num w:numId="74" w16cid:durableId="135490417">
    <w:abstractNumId w:val="91"/>
  </w:num>
  <w:num w:numId="75" w16cid:durableId="1155411068">
    <w:abstractNumId w:val="111"/>
  </w:num>
  <w:num w:numId="76" w16cid:durableId="995496113">
    <w:abstractNumId w:val="121"/>
  </w:num>
  <w:num w:numId="77" w16cid:durableId="317392851">
    <w:abstractNumId w:val="60"/>
  </w:num>
  <w:num w:numId="78" w16cid:durableId="1847817217">
    <w:abstractNumId w:val="89"/>
  </w:num>
  <w:num w:numId="79" w16cid:durableId="32580353">
    <w:abstractNumId w:val="41"/>
  </w:num>
  <w:num w:numId="80" w16cid:durableId="891497430">
    <w:abstractNumId w:val="107"/>
  </w:num>
  <w:num w:numId="81" w16cid:durableId="1411073282">
    <w:abstractNumId w:val="20"/>
  </w:num>
  <w:num w:numId="82" w16cid:durableId="1610821212">
    <w:abstractNumId w:val="3"/>
  </w:num>
  <w:num w:numId="83" w16cid:durableId="1731346373">
    <w:abstractNumId w:val="65"/>
  </w:num>
  <w:num w:numId="84" w16cid:durableId="1048072614">
    <w:abstractNumId w:val="61"/>
  </w:num>
  <w:num w:numId="85" w16cid:durableId="1299072755">
    <w:abstractNumId w:val="112"/>
  </w:num>
  <w:num w:numId="86" w16cid:durableId="1112363358">
    <w:abstractNumId w:val="71"/>
  </w:num>
  <w:num w:numId="87" w16cid:durableId="859703417">
    <w:abstractNumId w:val="74"/>
  </w:num>
  <w:num w:numId="88" w16cid:durableId="257256433">
    <w:abstractNumId w:val="51"/>
  </w:num>
  <w:num w:numId="89" w16cid:durableId="672419264">
    <w:abstractNumId w:val="90"/>
  </w:num>
  <w:num w:numId="90" w16cid:durableId="1434596602">
    <w:abstractNumId w:val="78"/>
  </w:num>
  <w:num w:numId="91" w16cid:durableId="170683145">
    <w:abstractNumId w:val="52"/>
  </w:num>
  <w:num w:numId="92" w16cid:durableId="1388840855">
    <w:abstractNumId w:val="100"/>
  </w:num>
  <w:num w:numId="93" w16cid:durableId="701856846">
    <w:abstractNumId w:val="54"/>
  </w:num>
  <w:num w:numId="94" w16cid:durableId="93284034">
    <w:abstractNumId w:val="28"/>
  </w:num>
  <w:num w:numId="95" w16cid:durableId="1924104168">
    <w:abstractNumId w:val="77"/>
  </w:num>
  <w:num w:numId="96" w16cid:durableId="412510171">
    <w:abstractNumId w:val="79"/>
  </w:num>
  <w:num w:numId="97" w16cid:durableId="1581789302">
    <w:abstractNumId w:val="10"/>
  </w:num>
  <w:num w:numId="98" w16cid:durableId="1586304028">
    <w:abstractNumId w:val="114"/>
  </w:num>
  <w:num w:numId="99" w16cid:durableId="1471826024">
    <w:abstractNumId w:val="67"/>
  </w:num>
  <w:num w:numId="100" w16cid:durableId="96096561">
    <w:abstractNumId w:val="7"/>
  </w:num>
  <w:num w:numId="101" w16cid:durableId="2025861545">
    <w:abstractNumId w:val="24"/>
  </w:num>
  <w:num w:numId="102" w16cid:durableId="596134911">
    <w:abstractNumId w:val="53"/>
  </w:num>
  <w:num w:numId="103" w16cid:durableId="1177767881">
    <w:abstractNumId w:val="37"/>
  </w:num>
  <w:num w:numId="104" w16cid:durableId="591857969">
    <w:abstractNumId w:val="50"/>
    <w:lvlOverride w:ilvl="0">
      <w:lvl w:ilvl="0">
        <w:start w:val="1"/>
        <w:numFmt w:val="decimal"/>
        <w:pStyle w:val="ListHeader"/>
        <w:suff w:val="space"/>
        <w:lvlText w:val="%1. "/>
        <w:lvlJc w:val="left"/>
        <w:pPr>
          <w:ind w:left="360" w:hanging="360"/>
        </w:pPr>
        <w:rPr>
          <w:rFonts w:ascii="Aptos" w:hAnsi="Aptos" w:hint="default"/>
          <w:b/>
          <w:i w:val="0"/>
          <w:color w:val="03569B"/>
          <w:sz w:val="36"/>
        </w:rPr>
      </w:lvl>
    </w:lvlOverride>
    <w:lvlOverride w:ilvl="1">
      <w:lvl w:ilvl="1">
        <w:start w:val="1"/>
        <w:numFmt w:val="decimal"/>
        <w:pStyle w:val="Heading3b"/>
        <w:suff w:val="space"/>
        <w:lvlText w:val="%1.%2. "/>
        <w:lvlJc w:val="left"/>
        <w:pPr>
          <w:ind w:left="432" w:hanging="432"/>
        </w:pPr>
        <w:rPr>
          <w:rFonts w:ascii="Aptos" w:hAnsi="Aptos" w:hint="default"/>
          <w:b/>
          <w:i w:val="0"/>
          <w:color w:val="3B3838" w:themeColor="background2" w:themeShade="40"/>
          <w:sz w:val="22"/>
        </w:rPr>
      </w:lvl>
    </w:lvlOverride>
    <w:lvlOverride w:ilvl="2">
      <w:lvl w:ilvl="2">
        <w:start w:val="1"/>
        <w:numFmt w:val="decimal"/>
        <w:pStyle w:val="ListStyle3"/>
        <w:suff w:val="space"/>
        <w:lvlText w:val="%1.%2.%3. "/>
        <w:lvlJc w:val="left"/>
        <w:pPr>
          <w:ind w:left="1224" w:hanging="504"/>
        </w:pPr>
        <w:rPr>
          <w:rFonts w:ascii="Aptos" w:hAnsi="Aptos" w:hint="default"/>
          <w:b w:val="0"/>
          <w:i w:val="0"/>
          <w:color w:val="03569B"/>
          <w:sz w:val="22"/>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5" w16cid:durableId="1880050794">
    <w:abstractNumId w:val="81"/>
  </w:num>
  <w:num w:numId="106" w16cid:durableId="2059427973">
    <w:abstractNumId w:val="25"/>
  </w:num>
  <w:num w:numId="107" w16cid:durableId="1204908888">
    <w:abstractNumId w:val="93"/>
  </w:num>
  <w:num w:numId="108" w16cid:durableId="593126509">
    <w:abstractNumId w:val="120"/>
    <w:lvlOverride w:ilvl="2">
      <w:lvl w:ilvl="2">
        <w:start w:val="1"/>
        <w:numFmt w:val="decimal"/>
        <w:lvlText w:val="%1.%2.%3."/>
        <w:lvlJc w:val="left"/>
        <w:pPr>
          <w:ind w:left="1224" w:hanging="504"/>
        </w:pPr>
        <w:rPr>
          <w:rFonts w:ascii="Aptos" w:hAnsi="Aptos" w:hint="default"/>
          <w:b w:val="0"/>
          <w:i w:val="0"/>
          <w:color w:val="03569B"/>
          <w:sz w:val="22"/>
        </w:rPr>
      </w:lvl>
    </w:lvlOverride>
  </w:num>
  <w:num w:numId="109" w16cid:durableId="352347734">
    <w:abstractNumId w:val="70"/>
  </w:num>
  <w:num w:numId="110" w16cid:durableId="2038236518">
    <w:abstractNumId w:val="86"/>
  </w:num>
  <w:num w:numId="111" w16cid:durableId="2099715140">
    <w:abstractNumId w:val="30"/>
  </w:num>
  <w:num w:numId="112" w16cid:durableId="426772848">
    <w:abstractNumId w:val="96"/>
  </w:num>
  <w:num w:numId="113" w16cid:durableId="1404599164">
    <w:abstractNumId w:val="35"/>
  </w:num>
  <w:num w:numId="114" w16cid:durableId="1853951044">
    <w:abstractNumId w:val="117"/>
  </w:num>
  <w:num w:numId="115" w16cid:durableId="1482307408">
    <w:abstractNumId w:val="73"/>
  </w:num>
  <w:num w:numId="116" w16cid:durableId="2035690804">
    <w:abstractNumId w:val="102"/>
  </w:num>
  <w:num w:numId="117" w16cid:durableId="2138571940">
    <w:abstractNumId w:val="76"/>
  </w:num>
  <w:num w:numId="118" w16cid:durableId="1883665298">
    <w:abstractNumId w:val="8"/>
  </w:num>
  <w:num w:numId="119" w16cid:durableId="1269697903">
    <w:abstractNumId w:val="13"/>
  </w:num>
  <w:num w:numId="120" w16cid:durableId="700665269">
    <w:abstractNumId w:val="12"/>
  </w:num>
  <w:num w:numId="121" w16cid:durableId="930821649">
    <w:abstractNumId w:val="116"/>
  </w:num>
  <w:num w:numId="122" w16cid:durableId="955867038">
    <w:abstractNumId w:val="23"/>
  </w:num>
  <w:num w:numId="123" w16cid:durableId="1331134004">
    <w:abstractNumId w:val="34"/>
  </w:num>
  <w:num w:numId="124" w16cid:durableId="240792596">
    <w:abstractNumId w:val="21"/>
  </w:num>
  <w:num w:numId="125" w16cid:durableId="266163318">
    <w:abstractNumId w:val="21"/>
    <w:lvlOverride w:ilvl="0">
      <w:startOverride w:val="1"/>
    </w:lvlOverride>
  </w:num>
  <w:num w:numId="126" w16cid:durableId="1835099546">
    <w:abstractNumId w:val="32"/>
  </w:num>
  <w:num w:numId="127" w16cid:durableId="412708171">
    <w:abstractNumId w:val="19"/>
  </w:num>
  <w:num w:numId="128" w16cid:durableId="79451161">
    <w:abstractNumId w:val="113"/>
  </w:num>
  <w:num w:numId="129" w16cid:durableId="190337071">
    <w:abstractNumId w:val="50"/>
    <w:lvlOverride w:ilvl="0">
      <w:startOverride w:val="1"/>
      <w:lvl w:ilvl="0">
        <w:start w:val="1"/>
        <w:numFmt w:val="decimal"/>
        <w:pStyle w:val="ListHeader"/>
        <w:suff w:val="space"/>
        <w:lvlText w:val="%1. "/>
        <w:lvlJc w:val="left"/>
        <w:pPr>
          <w:ind w:left="360" w:hanging="360"/>
        </w:pPr>
        <w:rPr>
          <w:rFonts w:ascii="Aptos" w:hAnsi="Aptos" w:hint="default"/>
          <w:b/>
          <w:i w:val="0"/>
          <w:color w:val="03569B"/>
          <w:sz w:val="36"/>
        </w:rPr>
      </w:lvl>
    </w:lvlOverride>
    <w:lvlOverride w:ilvl="1">
      <w:startOverride w:val="1"/>
      <w:lvl w:ilvl="1">
        <w:start w:val="1"/>
        <w:numFmt w:val="decimal"/>
        <w:pStyle w:val="Heading3b"/>
        <w:suff w:val="space"/>
        <w:lvlText w:val="%1.%2. "/>
        <w:lvlJc w:val="left"/>
        <w:pPr>
          <w:ind w:left="432" w:hanging="432"/>
        </w:pPr>
        <w:rPr>
          <w:rFonts w:ascii="Aptos" w:hAnsi="Aptos" w:hint="default"/>
          <w:b/>
          <w:i w:val="0"/>
          <w:color w:val="3B3838" w:themeColor="background2" w:themeShade="40"/>
          <w:sz w:val="22"/>
        </w:rPr>
      </w:lvl>
    </w:lvlOverride>
    <w:lvlOverride w:ilvl="2">
      <w:startOverride w:val="1"/>
      <w:lvl w:ilvl="2">
        <w:start w:val="1"/>
        <w:numFmt w:val="decimal"/>
        <w:pStyle w:val="ListStyle3"/>
        <w:suff w:val="space"/>
        <w:lvlText w:val="%1.%2.%3. "/>
        <w:lvlJc w:val="left"/>
        <w:pPr>
          <w:ind w:left="1224" w:hanging="504"/>
        </w:pPr>
        <w:rPr>
          <w:rFonts w:ascii="Aptos" w:hAnsi="Aptos" w:hint="default"/>
          <w:b w:val="0"/>
          <w:i w:val="0"/>
          <w:color w:val="03569B"/>
          <w:sz w:val="22"/>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130" w16cid:durableId="968704323">
    <w:abstractNumId w:val="50"/>
  </w:num>
  <w:numIdMacAtCleanup w:val="1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urtin, Daniel">
    <w15:presenceInfo w15:providerId="AD" w15:userId="S::dcurtin@tech-res.com::c94bb4b0-ad32-41ab-a15f-5eb94a10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328"/>
    <w:rsid w:val="00000DB9"/>
    <w:rsid w:val="00001427"/>
    <w:rsid w:val="00001628"/>
    <w:rsid w:val="000042F1"/>
    <w:rsid w:val="000045E3"/>
    <w:rsid w:val="0000542A"/>
    <w:rsid w:val="000068A6"/>
    <w:rsid w:val="00007EDB"/>
    <w:rsid w:val="00011149"/>
    <w:rsid w:val="000113FC"/>
    <w:rsid w:val="000138DC"/>
    <w:rsid w:val="00014B06"/>
    <w:rsid w:val="00016505"/>
    <w:rsid w:val="00017110"/>
    <w:rsid w:val="0001716E"/>
    <w:rsid w:val="000223B1"/>
    <w:rsid w:val="000227AC"/>
    <w:rsid w:val="00024836"/>
    <w:rsid w:val="0002591E"/>
    <w:rsid w:val="0003034C"/>
    <w:rsid w:val="00030B16"/>
    <w:rsid w:val="0003149A"/>
    <w:rsid w:val="000314A1"/>
    <w:rsid w:val="00031C5E"/>
    <w:rsid w:val="00034CCA"/>
    <w:rsid w:val="000352F3"/>
    <w:rsid w:val="00036505"/>
    <w:rsid w:val="0003718B"/>
    <w:rsid w:val="0004105A"/>
    <w:rsid w:val="00042492"/>
    <w:rsid w:val="00042B98"/>
    <w:rsid w:val="00043156"/>
    <w:rsid w:val="00043253"/>
    <w:rsid w:val="0004489A"/>
    <w:rsid w:val="00044E81"/>
    <w:rsid w:val="00046515"/>
    <w:rsid w:val="0004799E"/>
    <w:rsid w:val="00047B90"/>
    <w:rsid w:val="000509E6"/>
    <w:rsid w:val="0005127D"/>
    <w:rsid w:val="00051EA4"/>
    <w:rsid w:val="00053BFE"/>
    <w:rsid w:val="000549CC"/>
    <w:rsid w:val="00054AD7"/>
    <w:rsid w:val="00055388"/>
    <w:rsid w:val="000556E7"/>
    <w:rsid w:val="00056B9F"/>
    <w:rsid w:val="00057BF7"/>
    <w:rsid w:val="000615BE"/>
    <w:rsid w:val="000616B4"/>
    <w:rsid w:val="000639B6"/>
    <w:rsid w:val="00064625"/>
    <w:rsid w:val="00064B90"/>
    <w:rsid w:val="0006688B"/>
    <w:rsid w:val="00066CE1"/>
    <w:rsid w:val="00067D66"/>
    <w:rsid w:val="000705CE"/>
    <w:rsid w:val="00072994"/>
    <w:rsid w:val="00072EB0"/>
    <w:rsid w:val="00074290"/>
    <w:rsid w:val="000772CB"/>
    <w:rsid w:val="00080D1C"/>
    <w:rsid w:val="0008124B"/>
    <w:rsid w:val="0008142B"/>
    <w:rsid w:val="0008201F"/>
    <w:rsid w:val="00082069"/>
    <w:rsid w:val="0008208E"/>
    <w:rsid w:val="000822CC"/>
    <w:rsid w:val="0008277C"/>
    <w:rsid w:val="00083869"/>
    <w:rsid w:val="00083FE3"/>
    <w:rsid w:val="00084A7A"/>
    <w:rsid w:val="000858E4"/>
    <w:rsid w:val="0008781F"/>
    <w:rsid w:val="000900DB"/>
    <w:rsid w:val="00091087"/>
    <w:rsid w:val="00092222"/>
    <w:rsid w:val="00093007"/>
    <w:rsid w:val="00093608"/>
    <w:rsid w:val="00095A96"/>
    <w:rsid w:val="0009694A"/>
    <w:rsid w:val="00097AB7"/>
    <w:rsid w:val="000A2E5B"/>
    <w:rsid w:val="000A37CD"/>
    <w:rsid w:val="000A4A2A"/>
    <w:rsid w:val="000A4AB7"/>
    <w:rsid w:val="000A4B3A"/>
    <w:rsid w:val="000A5FBB"/>
    <w:rsid w:val="000A6EED"/>
    <w:rsid w:val="000A711A"/>
    <w:rsid w:val="000A72F6"/>
    <w:rsid w:val="000B0355"/>
    <w:rsid w:val="000B0534"/>
    <w:rsid w:val="000B4A7B"/>
    <w:rsid w:val="000B6DF5"/>
    <w:rsid w:val="000C1E5B"/>
    <w:rsid w:val="000C3EB3"/>
    <w:rsid w:val="000C422E"/>
    <w:rsid w:val="000C48BE"/>
    <w:rsid w:val="000C4A57"/>
    <w:rsid w:val="000C5272"/>
    <w:rsid w:val="000C6CAC"/>
    <w:rsid w:val="000C7C15"/>
    <w:rsid w:val="000D0DAE"/>
    <w:rsid w:val="000D17A2"/>
    <w:rsid w:val="000D21DB"/>
    <w:rsid w:val="000D3063"/>
    <w:rsid w:val="000D367A"/>
    <w:rsid w:val="000D6650"/>
    <w:rsid w:val="000D6871"/>
    <w:rsid w:val="000D6F39"/>
    <w:rsid w:val="000E0112"/>
    <w:rsid w:val="000E100B"/>
    <w:rsid w:val="000E3410"/>
    <w:rsid w:val="000E774E"/>
    <w:rsid w:val="000F102A"/>
    <w:rsid w:val="000F1903"/>
    <w:rsid w:val="000F59A6"/>
    <w:rsid w:val="000F7ED0"/>
    <w:rsid w:val="00100024"/>
    <w:rsid w:val="001015A7"/>
    <w:rsid w:val="00101648"/>
    <w:rsid w:val="00101B2F"/>
    <w:rsid w:val="00103194"/>
    <w:rsid w:val="0010422E"/>
    <w:rsid w:val="00104811"/>
    <w:rsid w:val="00104B45"/>
    <w:rsid w:val="00105F19"/>
    <w:rsid w:val="00106B9E"/>
    <w:rsid w:val="00107E06"/>
    <w:rsid w:val="00111349"/>
    <w:rsid w:val="00111A8C"/>
    <w:rsid w:val="00111E4F"/>
    <w:rsid w:val="00113823"/>
    <w:rsid w:val="00113BBB"/>
    <w:rsid w:val="00114AE5"/>
    <w:rsid w:val="00114F26"/>
    <w:rsid w:val="00115F29"/>
    <w:rsid w:val="001217D4"/>
    <w:rsid w:val="001222BE"/>
    <w:rsid w:val="00122464"/>
    <w:rsid w:val="00123861"/>
    <w:rsid w:val="00123949"/>
    <w:rsid w:val="00126793"/>
    <w:rsid w:val="0013120B"/>
    <w:rsid w:val="00131761"/>
    <w:rsid w:val="0013378B"/>
    <w:rsid w:val="00133F33"/>
    <w:rsid w:val="001357AE"/>
    <w:rsid w:val="001362D7"/>
    <w:rsid w:val="001364B5"/>
    <w:rsid w:val="00136652"/>
    <w:rsid w:val="00140161"/>
    <w:rsid w:val="001437A1"/>
    <w:rsid w:val="001438F3"/>
    <w:rsid w:val="0015245C"/>
    <w:rsid w:val="00152E60"/>
    <w:rsid w:val="00152EAD"/>
    <w:rsid w:val="001531EB"/>
    <w:rsid w:val="00153A6F"/>
    <w:rsid w:val="0015413D"/>
    <w:rsid w:val="00160C38"/>
    <w:rsid w:val="001622BF"/>
    <w:rsid w:val="001624CA"/>
    <w:rsid w:val="00163193"/>
    <w:rsid w:val="00163E03"/>
    <w:rsid w:val="00164976"/>
    <w:rsid w:val="00172261"/>
    <w:rsid w:val="00173589"/>
    <w:rsid w:val="00173F99"/>
    <w:rsid w:val="0017419F"/>
    <w:rsid w:val="0017428A"/>
    <w:rsid w:val="0017626E"/>
    <w:rsid w:val="00176A64"/>
    <w:rsid w:val="00176CB0"/>
    <w:rsid w:val="00176CD6"/>
    <w:rsid w:val="00180D26"/>
    <w:rsid w:val="0018145A"/>
    <w:rsid w:val="001828B7"/>
    <w:rsid w:val="001839FB"/>
    <w:rsid w:val="00183CAA"/>
    <w:rsid w:val="00187E2D"/>
    <w:rsid w:val="001903A9"/>
    <w:rsid w:val="0019041A"/>
    <w:rsid w:val="00190987"/>
    <w:rsid w:val="0019105D"/>
    <w:rsid w:val="00191524"/>
    <w:rsid w:val="00192A2C"/>
    <w:rsid w:val="0019443B"/>
    <w:rsid w:val="00196DEA"/>
    <w:rsid w:val="001A3BD7"/>
    <w:rsid w:val="001A3D9C"/>
    <w:rsid w:val="001A423C"/>
    <w:rsid w:val="001A4AFF"/>
    <w:rsid w:val="001A4FC6"/>
    <w:rsid w:val="001A59DA"/>
    <w:rsid w:val="001A623F"/>
    <w:rsid w:val="001B1808"/>
    <w:rsid w:val="001B2444"/>
    <w:rsid w:val="001B2E16"/>
    <w:rsid w:val="001B344D"/>
    <w:rsid w:val="001B435D"/>
    <w:rsid w:val="001B45DB"/>
    <w:rsid w:val="001B540E"/>
    <w:rsid w:val="001B728E"/>
    <w:rsid w:val="001B77B9"/>
    <w:rsid w:val="001C3D3B"/>
    <w:rsid w:val="001C63E4"/>
    <w:rsid w:val="001C6406"/>
    <w:rsid w:val="001C747A"/>
    <w:rsid w:val="001D3660"/>
    <w:rsid w:val="001D3C4F"/>
    <w:rsid w:val="001D5A56"/>
    <w:rsid w:val="001D5D18"/>
    <w:rsid w:val="001D6BEB"/>
    <w:rsid w:val="001D74D5"/>
    <w:rsid w:val="001D7EF2"/>
    <w:rsid w:val="001E214E"/>
    <w:rsid w:val="001E217B"/>
    <w:rsid w:val="001E2294"/>
    <w:rsid w:val="001E30C8"/>
    <w:rsid w:val="001E3781"/>
    <w:rsid w:val="001E3DD6"/>
    <w:rsid w:val="001E3F12"/>
    <w:rsid w:val="001F0BDE"/>
    <w:rsid w:val="001F0DEA"/>
    <w:rsid w:val="001F1828"/>
    <w:rsid w:val="001F182E"/>
    <w:rsid w:val="001F1C3D"/>
    <w:rsid w:val="001F27BE"/>
    <w:rsid w:val="001F2CA9"/>
    <w:rsid w:val="001F30B2"/>
    <w:rsid w:val="001F3DD1"/>
    <w:rsid w:val="001F59DF"/>
    <w:rsid w:val="001F5EEB"/>
    <w:rsid w:val="0020635F"/>
    <w:rsid w:val="002067E1"/>
    <w:rsid w:val="00206C46"/>
    <w:rsid w:val="0021116D"/>
    <w:rsid w:val="002144A5"/>
    <w:rsid w:val="00214DCA"/>
    <w:rsid w:val="00214DFF"/>
    <w:rsid w:val="00215B21"/>
    <w:rsid w:val="00215B40"/>
    <w:rsid w:val="00216F22"/>
    <w:rsid w:val="00221CCC"/>
    <w:rsid w:val="00221E0F"/>
    <w:rsid w:val="002223E9"/>
    <w:rsid w:val="00222B79"/>
    <w:rsid w:val="002241B1"/>
    <w:rsid w:val="00224E4C"/>
    <w:rsid w:val="00224FF0"/>
    <w:rsid w:val="00225005"/>
    <w:rsid w:val="002252B0"/>
    <w:rsid w:val="002269FE"/>
    <w:rsid w:val="00230CA9"/>
    <w:rsid w:val="00232828"/>
    <w:rsid w:val="00232BED"/>
    <w:rsid w:val="00232C7E"/>
    <w:rsid w:val="00233244"/>
    <w:rsid w:val="00240A5A"/>
    <w:rsid w:val="00242BF5"/>
    <w:rsid w:val="002442CA"/>
    <w:rsid w:val="00246C21"/>
    <w:rsid w:val="0024778F"/>
    <w:rsid w:val="00247AE6"/>
    <w:rsid w:val="00250BE5"/>
    <w:rsid w:val="00251FCE"/>
    <w:rsid w:val="002547C1"/>
    <w:rsid w:val="0025661C"/>
    <w:rsid w:val="002569D0"/>
    <w:rsid w:val="00257E57"/>
    <w:rsid w:val="00260A26"/>
    <w:rsid w:val="00260FA1"/>
    <w:rsid w:val="0026104C"/>
    <w:rsid w:val="002614FC"/>
    <w:rsid w:val="00262DBF"/>
    <w:rsid w:val="00270F26"/>
    <w:rsid w:val="00274D7E"/>
    <w:rsid w:val="00275FEA"/>
    <w:rsid w:val="00277541"/>
    <w:rsid w:val="00283C7B"/>
    <w:rsid w:val="00283E40"/>
    <w:rsid w:val="002862AF"/>
    <w:rsid w:val="00286F14"/>
    <w:rsid w:val="00286FEC"/>
    <w:rsid w:val="0028ACE5"/>
    <w:rsid w:val="0029006C"/>
    <w:rsid w:val="00291C05"/>
    <w:rsid w:val="00292FAA"/>
    <w:rsid w:val="00293340"/>
    <w:rsid w:val="00293E7E"/>
    <w:rsid w:val="00295908"/>
    <w:rsid w:val="002961D9"/>
    <w:rsid w:val="0029721A"/>
    <w:rsid w:val="002A0AC0"/>
    <w:rsid w:val="002A159E"/>
    <w:rsid w:val="002A1BEC"/>
    <w:rsid w:val="002A303C"/>
    <w:rsid w:val="002A3C7D"/>
    <w:rsid w:val="002A4173"/>
    <w:rsid w:val="002A41DF"/>
    <w:rsid w:val="002A460C"/>
    <w:rsid w:val="002A61F2"/>
    <w:rsid w:val="002A7FAA"/>
    <w:rsid w:val="002B044F"/>
    <w:rsid w:val="002B0DAA"/>
    <w:rsid w:val="002B119D"/>
    <w:rsid w:val="002B25D0"/>
    <w:rsid w:val="002B26FD"/>
    <w:rsid w:val="002B3A89"/>
    <w:rsid w:val="002B408D"/>
    <w:rsid w:val="002B493A"/>
    <w:rsid w:val="002B515E"/>
    <w:rsid w:val="002B5BBF"/>
    <w:rsid w:val="002C2B2D"/>
    <w:rsid w:val="002C3683"/>
    <w:rsid w:val="002C7052"/>
    <w:rsid w:val="002C78B3"/>
    <w:rsid w:val="002C7D3B"/>
    <w:rsid w:val="002D16AB"/>
    <w:rsid w:val="002D1C82"/>
    <w:rsid w:val="002D21B3"/>
    <w:rsid w:val="002D222D"/>
    <w:rsid w:val="002D276C"/>
    <w:rsid w:val="002D3408"/>
    <w:rsid w:val="002D3838"/>
    <w:rsid w:val="002D3EF9"/>
    <w:rsid w:val="002D5253"/>
    <w:rsid w:val="002D5F61"/>
    <w:rsid w:val="002D6135"/>
    <w:rsid w:val="002D68EC"/>
    <w:rsid w:val="002D7A98"/>
    <w:rsid w:val="002E01E2"/>
    <w:rsid w:val="002E01ED"/>
    <w:rsid w:val="002E0D51"/>
    <w:rsid w:val="002E2674"/>
    <w:rsid w:val="002E5233"/>
    <w:rsid w:val="002F0551"/>
    <w:rsid w:val="002F0614"/>
    <w:rsid w:val="002F1EE0"/>
    <w:rsid w:val="002F287F"/>
    <w:rsid w:val="002F3312"/>
    <w:rsid w:val="002F3B39"/>
    <w:rsid w:val="002F47FF"/>
    <w:rsid w:val="002F6640"/>
    <w:rsid w:val="002F6A97"/>
    <w:rsid w:val="002F6AB9"/>
    <w:rsid w:val="002F6F80"/>
    <w:rsid w:val="002F7AA4"/>
    <w:rsid w:val="003012F2"/>
    <w:rsid w:val="00303AA1"/>
    <w:rsid w:val="00304831"/>
    <w:rsid w:val="00304AA0"/>
    <w:rsid w:val="00311F41"/>
    <w:rsid w:val="0031249B"/>
    <w:rsid w:val="00314475"/>
    <w:rsid w:val="00314765"/>
    <w:rsid w:val="00314776"/>
    <w:rsid w:val="003158E1"/>
    <w:rsid w:val="003173F2"/>
    <w:rsid w:val="00317896"/>
    <w:rsid w:val="00317DAA"/>
    <w:rsid w:val="00322B45"/>
    <w:rsid w:val="00322DEE"/>
    <w:rsid w:val="0032439C"/>
    <w:rsid w:val="00324F5D"/>
    <w:rsid w:val="00331491"/>
    <w:rsid w:val="00333870"/>
    <w:rsid w:val="0033467D"/>
    <w:rsid w:val="0033795E"/>
    <w:rsid w:val="00340A2E"/>
    <w:rsid w:val="00341DE6"/>
    <w:rsid w:val="00341F89"/>
    <w:rsid w:val="00342AB4"/>
    <w:rsid w:val="00342B30"/>
    <w:rsid w:val="00342CFF"/>
    <w:rsid w:val="003439E8"/>
    <w:rsid w:val="0034446D"/>
    <w:rsid w:val="003444AC"/>
    <w:rsid w:val="00344A2B"/>
    <w:rsid w:val="003466E4"/>
    <w:rsid w:val="00346F84"/>
    <w:rsid w:val="00355108"/>
    <w:rsid w:val="00355546"/>
    <w:rsid w:val="00355A97"/>
    <w:rsid w:val="003563B1"/>
    <w:rsid w:val="003564FF"/>
    <w:rsid w:val="003568EE"/>
    <w:rsid w:val="0036308A"/>
    <w:rsid w:val="003643F2"/>
    <w:rsid w:val="00364C26"/>
    <w:rsid w:val="00364D6C"/>
    <w:rsid w:val="00365AAD"/>
    <w:rsid w:val="00371BDB"/>
    <w:rsid w:val="003742CF"/>
    <w:rsid w:val="00374C46"/>
    <w:rsid w:val="003756EC"/>
    <w:rsid w:val="00375758"/>
    <w:rsid w:val="00380902"/>
    <w:rsid w:val="00380CF6"/>
    <w:rsid w:val="0038117C"/>
    <w:rsid w:val="00384D6B"/>
    <w:rsid w:val="003851AD"/>
    <w:rsid w:val="00385F73"/>
    <w:rsid w:val="00386CB0"/>
    <w:rsid w:val="00386E11"/>
    <w:rsid w:val="00390B5D"/>
    <w:rsid w:val="0039137C"/>
    <w:rsid w:val="00392F04"/>
    <w:rsid w:val="0039343C"/>
    <w:rsid w:val="0039457D"/>
    <w:rsid w:val="00396785"/>
    <w:rsid w:val="00397E92"/>
    <w:rsid w:val="003A1610"/>
    <w:rsid w:val="003A2625"/>
    <w:rsid w:val="003A3548"/>
    <w:rsid w:val="003A41A6"/>
    <w:rsid w:val="003A505B"/>
    <w:rsid w:val="003A5788"/>
    <w:rsid w:val="003A71FE"/>
    <w:rsid w:val="003B1925"/>
    <w:rsid w:val="003B25D7"/>
    <w:rsid w:val="003B2A7E"/>
    <w:rsid w:val="003B2AC5"/>
    <w:rsid w:val="003B46B6"/>
    <w:rsid w:val="003B4C6E"/>
    <w:rsid w:val="003B5497"/>
    <w:rsid w:val="003B76BA"/>
    <w:rsid w:val="003B7A7F"/>
    <w:rsid w:val="003B7B27"/>
    <w:rsid w:val="003B7FB9"/>
    <w:rsid w:val="003C0C23"/>
    <w:rsid w:val="003C201F"/>
    <w:rsid w:val="003C2459"/>
    <w:rsid w:val="003C34DB"/>
    <w:rsid w:val="003C3A55"/>
    <w:rsid w:val="003C5219"/>
    <w:rsid w:val="003C5CF6"/>
    <w:rsid w:val="003C7E25"/>
    <w:rsid w:val="003D0ED7"/>
    <w:rsid w:val="003D2D4E"/>
    <w:rsid w:val="003D4154"/>
    <w:rsid w:val="003D4AB3"/>
    <w:rsid w:val="003D51F7"/>
    <w:rsid w:val="003D5217"/>
    <w:rsid w:val="003D7B2F"/>
    <w:rsid w:val="003E022C"/>
    <w:rsid w:val="003E2FE0"/>
    <w:rsid w:val="003E3416"/>
    <w:rsid w:val="003E5616"/>
    <w:rsid w:val="003E5998"/>
    <w:rsid w:val="003E76AB"/>
    <w:rsid w:val="003E7866"/>
    <w:rsid w:val="003F000D"/>
    <w:rsid w:val="003F1FD9"/>
    <w:rsid w:val="003F3BFF"/>
    <w:rsid w:val="003F4E60"/>
    <w:rsid w:val="003F6CF3"/>
    <w:rsid w:val="003F779F"/>
    <w:rsid w:val="003F7A08"/>
    <w:rsid w:val="003F7DB1"/>
    <w:rsid w:val="00400EE5"/>
    <w:rsid w:val="00401299"/>
    <w:rsid w:val="00402C7A"/>
    <w:rsid w:val="00403975"/>
    <w:rsid w:val="004046A4"/>
    <w:rsid w:val="0040534C"/>
    <w:rsid w:val="00406A96"/>
    <w:rsid w:val="00410480"/>
    <w:rsid w:val="00412FE7"/>
    <w:rsid w:val="00413EAF"/>
    <w:rsid w:val="00415F30"/>
    <w:rsid w:val="004160DE"/>
    <w:rsid w:val="00416EB2"/>
    <w:rsid w:val="00420B21"/>
    <w:rsid w:val="00420B6F"/>
    <w:rsid w:val="00421CBF"/>
    <w:rsid w:val="00423E80"/>
    <w:rsid w:val="004242BA"/>
    <w:rsid w:val="00425164"/>
    <w:rsid w:val="00425635"/>
    <w:rsid w:val="0042584D"/>
    <w:rsid w:val="00425883"/>
    <w:rsid w:val="00426097"/>
    <w:rsid w:val="00426A59"/>
    <w:rsid w:val="00430C65"/>
    <w:rsid w:val="00430DE4"/>
    <w:rsid w:val="00432661"/>
    <w:rsid w:val="00435A5C"/>
    <w:rsid w:val="00436CEB"/>
    <w:rsid w:val="0044163F"/>
    <w:rsid w:val="00441816"/>
    <w:rsid w:val="0044193E"/>
    <w:rsid w:val="00441944"/>
    <w:rsid w:val="0044235E"/>
    <w:rsid w:val="0044257E"/>
    <w:rsid w:val="0044270B"/>
    <w:rsid w:val="00442C94"/>
    <w:rsid w:val="00446588"/>
    <w:rsid w:val="00446B29"/>
    <w:rsid w:val="004477B2"/>
    <w:rsid w:val="004513CB"/>
    <w:rsid w:val="00451827"/>
    <w:rsid w:val="004523BF"/>
    <w:rsid w:val="0045253E"/>
    <w:rsid w:val="0045263B"/>
    <w:rsid w:val="00454F6C"/>
    <w:rsid w:val="00455A12"/>
    <w:rsid w:val="00455FBF"/>
    <w:rsid w:val="00456147"/>
    <w:rsid w:val="00456A1B"/>
    <w:rsid w:val="0045713C"/>
    <w:rsid w:val="004622BC"/>
    <w:rsid w:val="00462585"/>
    <w:rsid w:val="00462BAB"/>
    <w:rsid w:val="00465956"/>
    <w:rsid w:val="00465B45"/>
    <w:rsid w:val="00465CB9"/>
    <w:rsid w:val="004674BB"/>
    <w:rsid w:val="00470265"/>
    <w:rsid w:val="0047209E"/>
    <w:rsid w:val="004733E2"/>
    <w:rsid w:val="00475A83"/>
    <w:rsid w:val="004777CD"/>
    <w:rsid w:val="00481203"/>
    <w:rsid w:val="00481431"/>
    <w:rsid w:val="00482C43"/>
    <w:rsid w:val="00483188"/>
    <w:rsid w:val="0048735C"/>
    <w:rsid w:val="0049034C"/>
    <w:rsid w:val="004922BB"/>
    <w:rsid w:val="004946DE"/>
    <w:rsid w:val="00494734"/>
    <w:rsid w:val="00495D26"/>
    <w:rsid w:val="00496A97"/>
    <w:rsid w:val="00497786"/>
    <w:rsid w:val="00497B8D"/>
    <w:rsid w:val="004A0CD7"/>
    <w:rsid w:val="004A2BEC"/>
    <w:rsid w:val="004A3F99"/>
    <w:rsid w:val="004A4F32"/>
    <w:rsid w:val="004A575B"/>
    <w:rsid w:val="004A6353"/>
    <w:rsid w:val="004A76DE"/>
    <w:rsid w:val="004A7C02"/>
    <w:rsid w:val="004B3957"/>
    <w:rsid w:val="004B41D0"/>
    <w:rsid w:val="004B4A09"/>
    <w:rsid w:val="004B766D"/>
    <w:rsid w:val="004C06FD"/>
    <w:rsid w:val="004C0C59"/>
    <w:rsid w:val="004C1BCF"/>
    <w:rsid w:val="004C3B64"/>
    <w:rsid w:val="004C3D52"/>
    <w:rsid w:val="004C4708"/>
    <w:rsid w:val="004C4838"/>
    <w:rsid w:val="004C5D0F"/>
    <w:rsid w:val="004C6D8D"/>
    <w:rsid w:val="004C73EF"/>
    <w:rsid w:val="004C79A8"/>
    <w:rsid w:val="004C7A75"/>
    <w:rsid w:val="004D1D69"/>
    <w:rsid w:val="004D217A"/>
    <w:rsid w:val="004D50B9"/>
    <w:rsid w:val="004D6F06"/>
    <w:rsid w:val="004D77F1"/>
    <w:rsid w:val="004E092F"/>
    <w:rsid w:val="004E09B6"/>
    <w:rsid w:val="004E1272"/>
    <w:rsid w:val="004E22C2"/>
    <w:rsid w:val="004E4CED"/>
    <w:rsid w:val="004E4FF9"/>
    <w:rsid w:val="004E530F"/>
    <w:rsid w:val="004E5AEF"/>
    <w:rsid w:val="004E729D"/>
    <w:rsid w:val="004E7809"/>
    <w:rsid w:val="004F2923"/>
    <w:rsid w:val="004F324E"/>
    <w:rsid w:val="004F4BC3"/>
    <w:rsid w:val="004F594B"/>
    <w:rsid w:val="00500D7C"/>
    <w:rsid w:val="0050111C"/>
    <w:rsid w:val="00502F43"/>
    <w:rsid w:val="00502F5F"/>
    <w:rsid w:val="00503AE6"/>
    <w:rsid w:val="00507DD5"/>
    <w:rsid w:val="00510405"/>
    <w:rsid w:val="00515CC6"/>
    <w:rsid w:val="00515E5A"/>
    <w:rsid w:val="005163F8"/>
    <w:rsid w:val="0051654F"/>
    <w:rsid w:val="005168B1"/>
    <w:rsid w:val="00516FAA"/>
    <w:rsid w:val="00521290"/>
    <w:rsid w:val="00521B7C"/>
    <w:rsid w:val="00524FD9"/>
    <w:rsid w:val="0052559D"/>
    <w:rsid w:val="00526C7C"/>
    <w:rsid w:val="005279CE"/>
    <w:rsid w:val="00527F28"/>
    <w:rsid w:val="005304BA"/>
    <w:rsid w:val="005309E5"/>
    <w:rsid w:val="00531FA2"/>
    <w:rsid w:val="00533DE7"/>
    <w:rsid w:val="005340C6"/>
    <w:rsid w:val="005340D8"/>
    <w:rsid w:val="0053668B"/>
    <w:rsid w:val="005368BA"/>
    <w:rsid w:val="005368D5"/>
    <w:rsid w:val="00540066"/>
    <w:rsid w:val="0054094A"/>
    <w:rsid w:val="00542B6C"/>
    <w:rsid w:val="0054322F"/>
    <w:rsid w:val="005439CE"/>
    <w:rsid w:val="005443DB"/>
    <w:rsid w:val="00544BA2"/>
    <w:rsid w:val="0054536C"/>
    <w:rsid w:val="005466E3"/>
    <w:rsid w:val="00547E7A"/>
    <w:rsid w:val="00551468"/>
    <w:rsid w:val="00551D97"/>
    <w:rsid w:val="00556126"/>
    <w:rsid w:val="00560812"/>
    <w:rsid w:val="005610EE"/>
    <w:rsid w:val="005618EA"/>
    <w:rsid w:val="00565909"/>
    <w:rsid w:val="00566423"/>
    <w:rsid w:val="005664B3"/>
    <w:rsid w:val="0056667E"/>
    <w:rsid w:val="00567109"/>
    <w:rsid w:val="00567A1C"/>
    <w:rsid w:val="0057030F"/>
    <w:rsid w:val="00570A63"/>
    <w:rsid w:val="005729AC"/>
    <w:rsid w:val="00572A0D"/>
    <w:rsid w:val="00574E10"/>
    <w:rsid w:val="00575C0C"/>
    <w:rsid w:val="005763B9"/>
    <w:rsid w:val="00576FD9"/>
    <w:rsid w:val="0057741B"/>
    <w:rsid w:val="00580139"/>
    <w:rsid w:val="00581C55"/>
    <w:rsid w:val="00582B35"/>
    <w:rsid w:val="00586A54"/>
    <w:rsid w:val="00587B98"/>
    <w:rsid w:val="00590278"/>
    <w:rsid w:val="005902D7"/>
    <w:rsid w:val="00592402"/>
    <w:rsid w:val="00592638"/>
    <w:rsid w:val="00594547"/>
    <w:rsid w:val="005952A0"/>
    <w:rsid w:val="00595DBD"/>
    <w:rsid w:val="0059618D"/>
    <w:rsid w:val="005967CF"/>
    <w:rsid w:val="00596920"/>
    <w:rsid w:val="005A165B"/>
    <w:rsid w:val="005A3D5E"/>
    <w:rsid w:val="005A54F7"/>
    <w:rsid w:val="005A5504"/>
    <w:rsid w:val="005A56A5"/>
    <w:rsid w:val="005A6098"/>
    <w:rsid w:val="005A60EA"/>
    <w:rsid w:val="005A66CF"/>
    <w:rsid w:val="005A70B3"/>
    <w:rsid w:val="005A77B5"/>
    <w:rsid w:val="005B128A"/>
    <w:rsid w:val="005B18D2"/>
    <w:rsid w:val="005B2F3F"/>
    <w:rsid w:val="005B3F2F"/>
    <w:rsid w:val="005B5FFA"/>
    <w:rsid w:val="005B617B"/>
    <w:rsid w:val="005B6BAE"/>
    <w:rsid w:val="005B7273"/>
    <w:rsid w:val="005B7D88"/>
    <w:rsid w:val="005C0ED2"/>
    <w:rsid w:val="005C0EDF"/>
    <w:rsid w:val="005C133D"/>
    <w:rsid w:val="005C1508"/>
    <w:rsid w:val="005C47DB"/>
    <w:rsid w:val="005C6BE6"/>
    <w:rsid w:val="005C7329"/>
    <w:rsid w:val="005D0B48"/>
    <w:rsid w:val="005D1FB2"/>
    <w:rsid w:val="005D2146"/>
    <w:rsid w:val="005D24E0"/>
    <w:rsid w:val="005D2633"/>
    <w:rsid w:val="005D49FC"/>
    <w:rsid w:val="005D6A29"/>
    <w:rsid w:val="005D753F"/>
    <w:rsid w:val="005E0BEC"/>
    <w:rsid w:val="005E1752"/>
    <w:rsid w:val="005E2ABC"/>
    <w:rsid w:val="005E343E"/>
    <w:rsid w:val="005E7025"/>
    <w:rsid w:val="005E7ECE"/>
    <w:rsid w:val="005F581D"/>
    <w:rsid w:val="005F599A"/>
    <w:rsid w:val="0060149E"/>
    <w:rsid w:val="00602050"/>
    <w:rsid w:val="00602202"/>
    <w:rsid w:val="00605EB0"/>
    <w:rsid w:val="00606176"/>
    <w:rsid w:val="00607470"/>
    <w:rsid w:val="006075BE"/>
    <w:rsid w:val="00607D93"/>
    <w:rsid w:val="006136AC"/>
    <w:rsid w:val="006139C6"/>
    <w:rsid w:val="00614551"/>
    <w:rsid w:val="00614C8F"/>
    <w:rsid w:val="00615B29"/>
    <w:rsid w:val="00615BB3"/>
    <w:rsid w:val="00615C5A"/>
    <w:rsid w:val="00617B80"/>
    <w:rsid w:val="00620352"/>
    <w:rsid w:val="006204C8"/>
    <w:rsid w:val="00620F86"/>
    <w:rsid w:val="00623C58"/>
    <w:rsid w:val="00623CE9"/>
    <w:rsid w:val="006279CC"/>
    <w:rsid w:val="006279F8"/>
    <w:rsid w:val="00631812"/>
    <w:rsid w:val="00634D4E"/>
    <w:rsid w:val="0063623A"/>
    <w:rsid w:val="00636694"/>
    <w:rsid w:val="00640581"/>
    <w:rsid w:val="0064115E"/>
    <w:rsid w:val="006425BD"/>
    <w:rsid w:val="006429D1"/>
    <w:rsid w:val="00644D1B"/>
    <w:rsid w:val="006451C6"/>
    <w:rsid w:val="00646998"/>
    <w:rsid w:val="00647322"/>
    <w:rsid w:val="00650AA6"/>
    <w:rsid w:val="0065146F"/>
    <w:rsid w:val="006520D8"/>
    <w:rsid w:val="00653CD6"/>
    <w:rsid w:val="0065477F"/>
    <w:rsid w:val="006547A0"/>
    <w:rsid w:val="00656635"/>
    <w:rsid w:val="00657E49"/>
    <w:rsid w:val="006615CA"/>
    <w:rsid w:val="00661A8F"/>
    <w:rsid w:val="00661AED"/>
    <w:rsid w:val="00664A92"/>
    <w:rsid w:val="00664C3F"/>
    <w:rsid w:val="00664E7D"/>
    <w:rsid w:val="00666709"/>
    <w:rsid w:val="006674D4"/>
    <w:rsid w:val="00671737"/>
    <w:rsid w:val="00671F7C"/>
    <w:rsid w:val="00673AD8"/>
    <w:rsid w:val="00673E68"/>
    <w:rsid w:val="006741F6"/>
    <w:rsid w:val="006755D6"/>
    <w:rsid w:val="006776C9"/>
    <w:rsid w:val="00680FC8"/>
    <w:rsid w:val="00682298"/>
    <w:rsid w:val="00685CE5"/>
    <w:rsid w:val="00686AA8"/>
    <w:rsid w:val="00686BF9"/>
    <w:rsid w:val="00687144"/>
    <w:rsid w:val="0069228E"/>
    <w:rsid w:val="00692D9A"/>
    <w:rsid w:val="00694338"/>
    <w:rsid w:val="00695A8D"/>
    <w:rsid w:val="006A2C31"/>
    <w:rsid w:val="006A3913"/>
    <w:rsid w:val="006A3C3A"/>
    <w:rsid w:val="006A46C2"/>
    <w:rsid w:val="006A518F"/>
    <w:rsid w:val="006B12AD"/>
    <w:rsid w:val="006B2592"/>
    <w:rsid w:val="006B3158"/>
    <w:rsid w:val="006B4525"/>
    <w:rsid w:val="006B66FE"/>
    <w:rsid w:val="006B690B"/>
    <w:rsid w:val="006B6F90"/>
    <w:rsid w:val="006C15AA"/>
    <w:rsid w:val="006C2E8E"/>
    <w:rsid w:val="006C536D"/>
    <w:rsid w:val="006C539D"/>
    <w:rsid w:val="006C7E66"/>
    <w:rsid w:val="006D00D9"/>
    <w:rsid w:val="006D078B"/>
    <w:rsid w:val="006D1366"/>
    <w:rsid w:val="006D1F1B"/>
    <w:rsid w:val="006D2559"/>
    <w:rsid w:val="006D3620"/>
    <w:rsid w:val="006D3FE4"/>
    <w:rsid w:val="006D4150"/>
    <w:rsid w:val="006D4FFF"/>
    <w:rsid w:val="006D5EAB"/>
    <w:rsid w:val="006D6525"/>
    <w:rsid w:val="006D6B9A"/>
    <w:rsid w:val="006E0765"/>
    <w:rsid w:val="006E1ADF"/>
    <w:rsid w:val="006E2968"/>
    <w:rsid w:val="006E2979"/>
    <w:rsid w:val="006E399D"/>
    <w:rsid w:val="006E62B1"/>
    <w:rsid w:val="006E67D1"/>
    <w:rsid w:val="006E7FA5"/>
    <w:rsid w:val="006EF2A2"/>
    <w:rsid w:val="006F0CF8"/>
    <w:rsid w:val="006F15E8"/>
    <w:rsid w:val="006F392F"/>
    <w:rsid w:val="006F5CD7"/>
    <w:rsid w:val="006F63FA"/>
    <w:rsid w:val="006F74C2"/>
    <w:rsid w:val="00700E56"/>
    <w:rsid w:val="0070216E"/>
    <w:rsid w:val="0070310B"/>
    <w:rsid w:val="0070432A"/>
    <w:rsid w:val="00707249"/>
    <w:rsid w:val="007076D3"/>
    <w:rsid w:val="007101C9"/>
    <w:rsid w:val="00711C74"/>
    <w:rsid w:val="00711CEE"/>
    <w:rsid w:val="00713E97"/>
    <w:rsid w:val="007160C2"/>
    <w:rsid w:val="0071668F"/>
    <w:rsid w:val="0072042E"/>
    <w:rsid w:val="00724F19"/>
    <w:rsid w:val="00726542"/>
    <w:rsid w:val="007271EF"/>
    <w:rsid w:val="007312BF"/>
    <w:rsid w:val="0073248F"/>
    <w:rsid w:val="0073291D"/>
    <w:rsid w:val="00733360"/>
    <w:rsid w:val="00733CEE"/>
    <w:rsid w:val="00734B04"/>
    <w:rsid w:val="00735CFB"/>
    <w:rsid w:val="00737F41"/>
    <w:rsid w:val="0074162C"/>
    <w:rsid w:val="00742A4C"/>
    <w:rsid w:val="00744FC2"/>
    <w:rsid w:val="00746C5C"/>
    <w:rsid w:val="00746F89"/>
    <w:rsid w:val="00747043"/>
    <w:rsid w:val="00750BBF"/>
    <w:rsid w:val="00751086"/>
    <w:rsid w:val="00751ED7"/>
    <w:rsid w:val="007528C7"/>
    <w:rsid w:val="0075408A"/>
    <w:rsid w:val="00755146"/>
    <w:rsid w:val="00756BFD"/>
    <w:rsid w:val="00760736"/>
    <w:rsid w:val="007609DC"/>
    <w:rsid w:val="00760A03"/>
    <w:rsid w:val="007617C2"/>
    <w:rsid w:val="00761E96"/>
    <w:rsid w:val="00766D31"/>
    <w:rsid w:val="00773C4A"/>
    <w:rsid w:val="007744FE"/>
    <w:rsid w:val="007752B0"/>
    <w:rsid w:val="00775B43"/>
    <w:rsid w:val="0077634D"/>
    <w:rsid w:val="00777AF0"/>
    <w:rsid w:val="00781C31"/>
    <w:rsid w:val="00784147"/>
    <w:rsid w:val="00784476"/>
    <w:rsid w:val="007850F2"/>
    <w:rsid w:val="007864A7"/>
    <w:rsid w:val="00786A6F"/>
    <w:rsid w:val="00786D49"/>
    <w:rsid w:val="0078754A"/>
    <w:rsid w:val="00790130"/>
    <w:rsid w:val="00790570"/>
    <w:rsid w:val="007908A9"/>
    <w:rsid w:val="00791BE8"/>
    <w:rsid w:val="00793CF7"/>
    <w:rsid w:val="0079621A"/>
    <w:rsid w:val="007A26FA"/>
    <w:rsid w:val="007A32A4"/>
    <w:rsid w:val="007A5CCA"/>
    <w:rsid w:val="007A6575"/>
    <w:rsid w:val="007A69BB"/>
    <w:rsid w:val="007A74DF"/>
    <w:rsid w:val="007B09F0"/>
    <w:rsid w:val="007B1C03"/>
    <w:rsid w:val="007B1E59"/>
    <w:rsid w:val="007B2662"/>
    <w:rsid w:val="007B2DE8"/>
    <w:rsid w:val="007B2F57"/>
    <w:rsid w:val="007B4417"/>
    <w:rsid w:val="007B454C"/>
    <w:rsid w:val="007B4D34"/>
    <w:rsid w:val="007B4ED1"/>
    <w:rsid w:val="007B56CB"/>
    <w:rsid w:val="007B59D1"/>
    <w:rsid w:val="007B64D3"/>
    <w:rsid w:val="007B702C"/>
    <w:rsid w:val="007C18D9"/>
    <w:rsid w:val="007C1A09"/>
    <w:rsid w:val="007C285F"/>
    <w:rsid w:val="007C2F77"/>
    <w:rsid w:val="007C4EAE"/>
    <w:rsid w:val="007D0297"/>
    <w:rsid w:val="007D03B0"/>
    <w:rsid w:val="007D27B4"/>
    <w:rsid w:val="007D29D7"/>
    <w:rsid w:val="007D4668"/>
    <w:rsid w:val="007D527F"/>
    <w:rsid w:val="007D64DC"/>
    <w:rsid w:val="007D7409"/>
    <w:rsid w:val="007D7EF0"/>
    <w:rsid w:val="007E03B0"/>
    <w:rsid w:val="007E1599"/>
    <w:rsid w:val="007E4781"/>
    <w:rsid w:val="007E5488"/>
    <w:rsid w:val="007E5979"/>
    <w:rsid w:val="007E65C4"/>
    <w:rsid w:val="007E8A7C"/>
    <w:rsid w:val="007F1FB0"/>
    <w:rsid w:val="007F49C5"/>
    <w:rsid w:val="007F5BF9"/>
    <w:rsid w:val="007F5FD5"/>
    <w:rsid w:val="007F60E4"/>
    <w:rsid w:val="007F6219"/>
    <w:rsid w:val="007F6F4D"/>
    <w:rsid w:val="0080055E"/>
    <w:rsid w:val="0080213E"/>
    <w:rsid w:val="008031D9"/>
    <w:rsid w:val="00803C1C"/>
    <w:rsid w:val="00805281"/>
    <w:rsid w:val="00805B4D"/>
    <w:rsid w:val="00805E16"/>
    <w:rsid w:val="00807544"/>
    <w:rsid w:val="008107B3"/>
    <w:rsid w:val="00812566"/>
    <w:rsid w:val="00812577"/>
    <w:rsid w:val="00812777"/>
    <w:rsid w:val="00813DEA"/>
    <w:rsid w:val="008143FD"/>
    <w:rsid w:val="00814B94"/>
    <w:rsid w:val="00816184"/>
    <w:rsid w:val="008168CE"/>
    <w:rsid w:val="00816C38"/>
    <w:rsid w:val="00816C5C"/>
    <w:rsid w:val="00817D2B"/>
    <w:rsid w:val="00817DEC"/>
    <w:rsid w:val="00817E9C"/>
    <w:rsid w:val="008219D5"/>
    <w:rsid w:val="00825499"/>
    <w:rsid w:val="00826350"/>
    <w:rsid w:val="00826C41"/>
    <w:rsid w:val="00827AF6"/>
    <w:rsid w:val="00832B03"/>
    <w:rsid w:val="0083444A"/>
    <w:rsid w:val="008360E1"/>
    <w:rsid w:val="00837255"/>
    <w:rsid w:val="008372C7"/>
    <w:rsid w:val="008401E6"/>
    <w:rsid w:val="00840EF4"/>
    <w:rsid w:val="00842FD8"/>
    <w:rsid w:val="00843F45"/>
    <w:rsid w:val="008441F2"/>
    <w:rsid w:val="0084451D"/>
    <w:rsid w:val="00844EF4"/>
    <w:rsid w:val="00845950"/>
    <w:rsid w:val="0084635A"/>
    <w:rsid w:val="00847126"/>
    <w:rsid w:val="00847B79"/>
    <w:rsid w:val="00852079"/>
    <w:rsid w:val="0085303C"/>
    <w:rsid w:val="00853452"/>
    <w:rsid w:val="0085460C"/>
    <w:rsid w:val="00854EB3"/>
    <w:rsid w:val="008574E6"/>
    <w:rsid w:val="0086017C"/>
    <w:rsid w:val="0086231E"/>
    <w:rsid w:val="008625F5"/>
    <w:rsid w:val="0086261D"/>
    <w:rsid w:val="00863831"/>
    <w:rsid w:val="00863E92"/>
    <w:rsid w:val="0086498B"/>
    <w:rsid w:val="008670DF"/>
    <w:rsid w:val="00870DB7"/>
    <w:rsid w:val="00871E3F"/>
    <w:rsid w:val="0087245E"/>
    <w:rsid w:val="00875B93"/>
    <w:rsid w:val="008764BB"/>
    <w:rsid w:val="008767BC"/>
    <w:rsid w:val="00876E2C"/>
    <w:rsid w:val="00880E89"/>
    <w:rsid w:val="00881841"/>
    <w:rsid w:val="00881DF2"/>
    <w:rsid w:val="00882096"/>
    <w:rsid w:val="0088224B"/>
    <w:rsid w:val="00882883"/>
    <w:rsid w:val="00884A42"/>
    <w:rsid w:val="00884C58"/>
    <w:rsid w:val="00885CA1"/>
    <w:rsid w:val="008863CD"/>
    <w:rsid w:val="00892F48"/>
    <w:rsid w:val="00893422"/>
    <w:rsid w:val="00893B1F"/>
    <w:rsid w:val="00895554"/>
    <w:rsid w:val="008958E3"/>
    <w:rsid w:val="008A1A16"/>
    <w:rsid w:val="008A4185"/>
    <w:rsid w:val="008A4C89"/>
    <w:rsid w:val="008A5AD0"/>
    <w:rsid w:val="008A7310"/>
    <w:rsid w:val="008B078B"/>
    <w:rsid w:val="008B11B0"/>
    <w:rsid w:val="008B4307"/>
    <w:rsid w:val="008B6DCB"/>
    <w:rsid w:val="008B7181"/>
    <w:rsid w:val="008B736C"/>
    <w:rsid w:val="008B75CC"/>
    <w:rsid w:val="008C0401"/>
    <w:rsid w:val="008C261F"/>
    <w:rsid w:val="008C3DE4"/>
    <w:rsid w:val="008C4574"/>
    <w:rsid w:val="008C5A13"/>
    <w:rsid w:val="008C7B5B"/>
    <w:rsid w:val="008C7D40"/>
    <w:rsid w:val="008D0794"/>
    <w:rsid w:val="008D089A"/>
    <w:rsid w:val="008D2FC9"/>
    <w:rsid w:val="008D32F2"/>
    <w:rsid w:val="008D3DF1"/>
    <w:rsid w:val="008D7BBC"/>
    <w:rsid w:val="008E088C"/>
    <w:rsid w:val="008E0DD2"/>
    <w:rsid w:val="008E15C0"/>
    <w:rsid w:val="008E2FCA"/>
    <w:rsid w:val="008E623C"/>
    <w:rsid w:val="008F199B"/>
    <w:rsid w:val="008F4891"/>
    <w:rsid w:val="008F4FF0"/>
    <w:rsid w:val="008F578B"/>
    <w:rsid w:val="008F66B8"/>
    <w:rsid w:val="008F7923"/>
    <w:rsid w:val="008F7980"/>
    <w:rsid w:val="00900053"/>
    <w:rsid w:val="00900FCB"/>
    <w:rsid w:val="00901C30"/>
    <w:rsid w:val="009026DC"/>
    <w:rsid w:val="00910D0C"/>
    <w:rsid w:val="00910FF5"/>
    <w:rsid w:val="00915939"/>
    <w:rsid w:val="00915D8E"/>
    <w:rsid w:val="0091729C"/>
    <w:rsid w:val="009201B7"/>
    <w:rsid w:val="00922056"/>
    <w:rsid w:val="0092349B"/>
    <w:rsid w:val="009238E2"/>
    <w:rsid w:val="00927BE9"/>
    <w:rsid w:val="00930746"/>
    <w:rsid w:val="00930852"/>
    <w:rsid w:val="00930BCE"/>
    <w:rsid w:val="00930E7C"/>
    <w:rsid w:val="009322B1"/>
    <w:rsid w:val="00933BDF"/>
    <w:rsid w:val="00934090"/>
    <w:rsid w:val="009348BB"/>
    <w:rsid w:val="00934952"/>
    <w:rsid w:val="00936430"/>
    <w:rsid w:val="0093786D"/>
    <w:rsid w:val="00937E3D"/>
    <w:rsid w:val="009406AB"/>
    <w:rsid w:val="00940853"/>
    <w:rsid w:val="00940A48"/>
    <w:rsid w:val="00940F3F"/>
    <w:rsid w:val="00942472"/>
    <w:rsid w:val="00943C94"/>
    <w:rsid w:val="00944EF5"/>
    <w:rsid w:val="00945184"/>
    <w:rsid w:val="009460E4"/>
    <w:rsid w:val="0094783B"/>
    <w:rsid w:val="0095128E"/>
    <w:rsid w:val="00952E49"/>
    <w:rsid w:val="00953234"/>
    <w:rsid w:val="0095406D"/>
    <w:rsid w:val="00954082"/>
    <w:rsid w:val="00954A10"/>
    <w:rsid w:val="0095534B"/>
    <w:rsid w:val="00955E44"/>
    <w:rsid w:val="00956002"/>
    <w:rsid w:val="009562A3"/>
    <w:rsid w:val="00956C10"/>
    <w:rsid w:val="00961509"/>
    <w:rsid w:val="00964C4B"/>
    <w:rsid w:val="00967162"/>
    <w:rsid w:val="009730CC"/>
    <w:rsid w:val="00973351"/>
    <w:rsid w:val="009745EE"/>
    <w:rsid w:val="00976D36"/>
    <w:rsid w:val="00977C90"/>
    <w:rsid w:val="00980681"/>
    <w:rsid w:val="00980E76"/>
    <w:rsid w:val="00981A11"/>
    <w:rsid w:val="00981E85"/>
    <w:rsid w:val="00983C73"/>
    <w:rsid w:val="00985859"/>
    <w:rsid w:val="00985F9D"/>
    <w:rsid w:val="00986D83"/>
    <w:rsid w:val="00986F70"/>
    <w:rsid w:val="00987B1B"/>
    <w:rsid w:val="0099130C"/>
    <w:rsid w:val="00991589"/>
    <w:rsid w:val="0099253F"/>
    <w:rsid w:val="00992F5E"/>
    <w:rsid w:val="0099353B"/>
    <w:rsid w:val="009945CB"/>
    <w:rsid w:val="009946F5"/>
    <w:rsid w:val="00994DC1"/>
    <w:rsid w:val="009954EC"/>
    <w:rsid w:val="00996E38"/>
    <w:rsid w:val="00997430"/>
    <w:rsid w:val="009A1B4B"/>
    <w:rsid w:val="009A4026"/>
    <w:rsid w:val="009A4918"/>
    <w:rsid w:val="009A5514"/>
    <w:rsid w:val="009A5596"/>
    <w:rsid w:val="009A5B30"/>
    <w:rsid w:val="009A6F22"/>
    <w:rsid w:val="009B117C"/>
    <w:rsid w:val="009B1657"/>
    <w:rsid w:val="009B2C5F"/>
    <w:rsid w:val="009B3AA1"/>
    <w:rsid w:val="009B63BF"/>
    <w:rsid w:val="009B6D95"/>
    <w:rsid w:val="009B7C7F"/>
    <w:rsid w:val="009C22B3"/>
    <w:rsid w:val="009C453B"/>
    <w:rsid w:val="009C5CDA"/>
    <w:rsid w:val="009C68AE"/>
    <w:rsid w:val="009C70DA"/>
    <w:rsid w:val="009C75BF"/>
    <w:rsid w:val="009D05AA"/>
    <w:rsid w:val="009D15B7"/>
    <w:rsid w:val="009D1EF6"/>
    <w:rsid w:val="009D2E67"/>
    <w:rsid w:val="009D38C9"/>
    <w:rsid w:val="009D7B22"/>
    <w:rsid w:val="009D7D7C"/>
    <w:rsid w:val="009D7E04"/>
    <w:rsid w:val="009E19D8"/>
    <w:rsid w:val="009E3C6B"/>
    <w:rsid w:val="009E4D3C"/>
    <w:rsid w:val="009E6633"/>
    <w:rsid w:val="009E66BC"/>
    <w:rsid w:val="009E7E6F"/>
    <w:rsid w:val="009F20F4"/>
    <w:rsid w:val="009F31DC"/>
    <w:rsid w:val="009F3435"/>
    <w:rsid w:val="009F42E0"/>
    <w:rsid w:val="009F6945"/>
    <w:rsid w:val="009F74EE"/>
    <w:rsid w:val="00A0062E"/>
    <w:rsid w:val="00A00D4C"/>
    <w:rsid w:val="00A019E3"/>
    <w:rsid w:val="00A01D19"/>
    <w:rsid w:val="00A035F1"/>
    <w:rsid w:val="00A058C2"/>
    <w:rsid w:val="00A0632E"/>
    <w:rsid w:val="00A07F98"/>
    <w:rsid w:val="00A1183E"/>
    <w:rsid w:val="00A12058"/>
    <w:rsid w:val="00A12E8C"/>
    <w:rsid w:val="00A13D77"/>
    <w:rsid w:val="00A151FD"/>
    <w:rsid w:val="00A212F5"/>
    <w:rsid w:val="00A2397B"/>
    <w:rsid w:val="00A2418B"/>
    <w:rsid w:val="00A24A9E"/>
    <w:rsid w:val="00A26122"/>
    <w:rsid w:val="00A269C3"/>
    <w:rsid w:val="00A270E3"/>
    <w:rsid w:val="00A30286"/>
    <w:rsid w:val="00A303F9"/>
    <w:rsid w:val="00A3106A"/>
    <w:rsid w:val="00A3158D"/>
    <w:rsid w:val="00A315C6"/>
    <w:rsid w:val="00A31850"/>
    <w:rsid w:val="00A327AA"/>
    <w:rsid w:val="00A332AF"/>
    <w:rsid w:val="00A3350F"/>
    <w:rsid w:val="00A33A18"/>
    <w:rsid w:val="00A362BF"/>
    <w:rsid w:val="00A368B5"/>
    <w:rsid w:val="00A40373"/>
    <w:rsid w:val="00A40C83"/>
    <w:rsid w:val="00A4140A"/>
    <w:rsid w:val="00A42C90"/>
    <w:rsid w:val="00A42F81"/>
    <w:rsid w:val="00A43007"/>
    <w:rsid w:val="00A43A4C"/>
    <w:rsid w:val="00A43D1E"/>
    <w:rsid w:val="00A44181"/>
    <w:rsid w:val="00A448AC"/>
    <w:rsid w:val="00A46D3F"/>
    <w:rsid w:val="00A47039"/>
    <w:rsid w:val="00A50E9F"/>
    <w:rsid w:val="00A51647"/>
    <w:rsid w:val="00A521DC"/>
    <w:rsid w:val="00A5226A"/>
    <w:rsid w:val="00A54133"/>
    <w:rsid w:val="00A54EC0"/>
    <w:rsid w:val="00A5580A"/>
    <w:rsid w:val="00A5591A"/>
    <w:rsid w:val="00A5645F"/>
    <w:rsid w:val="00A63297"/>
    <w:rsid w:val="00A63C71"/>
    <w:rsid w:val="00A64BA4"/>
    <w:rsid w:val="00A717EB"/>
    <w:rsid w:val="00A7257E"/>
    <w:rsid w:val="00A7293A"/>
    <w:rsid w:val="00A72ED1"/>
    <w:rsid w:val="00A7323F"/>
    <w:rsid w:val="00A740AA"/>
    <w:rsid w:val="00A7497C"/>
    <w:rsid w:val="00A74F87"/>
    <w:rsid w:val="00A76F2C"/>
    <w:rsid w:val="00A80437"/>
    <w:rsid w:val="00A81206"/>
    <w:rsid w:val="00A8145A"/>
    <w:rsid w:val="00A8219F"/>
    <w:rsid w:val="00A82B9F"/>
    <w:rsid w:val="00A82C27"/>
    <w:rsid w:val="00A86366"/>
    <w:rsid w:val="00A86FE6"/>
    <w:rsid w:val="00A92496"/>
    <w:rsid w:val="00A93415"/>
    <w:rsid w:val="00A9341D"/>
    <w:rsid w:val="00A93A0D"/>
    <w:rsid w:val="00A96DDB"/>
    <w:rsid w:val="00A9794E"/>
    <w:rsid w:val="00A9795B"/>
    <w:rsid w:val="00AA08FB"/>
    <w:rsid w:val="00AA2664"/>
    <w:rsid w:val="00AA664D"/>
    <w:rsid w:val="00AB2185"/>
    <w:rsid w:val="00AB2747"/>
    <w:rsid w:val="00AB3C7D"/>
    <w:rsid w:val="00AB448B"/>
    <w:rsid w:val="00AB45C5"/>
    <w:rsid w:val="00AB5A21"/>
    <w:rsid w:val="00AC016F"/>
    <w:rsid w:val="00AC2C27"/>
    <w:rsid w:val="00AC2FE0"/>
    <w:rsid w:val="00AC4473"/>
    <w:rsid w:val="00AC5817"/>
    <w:rsid w:val="00AC5BC8"/>
    <w:rsid w:val="00AD002E"/>
    <w:rsid w:val="00AD0A4F"/>
    <w:rsid w:val="00AD2B9B"/>
    <w:rsid w:val="00AD4113"/>
    <w:rsid w:val="00AD42CE"/>
    <w:rsid w:val="00AD476A"/>
    <w:rsid w:val="00AD72B6"/>
    <w:rsid w:val="00AE060D"/>
    <w:rsid w:val="00AE0936"/>
    <w:rsid w:val="00AE0C0B"/>
    <w:rsid w:val="00AE1405"/>
    <w:rsid w:val="00AE266C"/>
    <w:rsid w:val="00AE3744"/>
    <w:rsid w:val="00AE53C8"/>
    <w:rsid w:val="00AE5634"/>
    <w:rsid w:val="00AE5805"/>
    <w:rsid w:val="00AE597C"/>
    <w:rsid w:val="00AE5D2F"/>
    <w:rsid w:val="00AE5F82"/>
    <w:rsid w:val="00AE6F5E"/>
    <w:rsid w:val="00AF159C"/>
    <w:rsid w:val="00AF269A"/>
    <w:rsid w:val="00AF29D1"/>
    <w:rsid w:val="00AF32D7"/>
    <w:rsid w:val="00AF411F"/>
    <w:rsid w:val="00AF6D9D"/>
    <w:rsid w:val="00AF6FBA"/>
    <w:rsid w:val="00AF7C5E"/>
    <w:rsid w:val="00B01EE7"/>
    <w:rsid w:val="00B0223A"/>
    <w:rsid w:val="00B03305"/>
    <w:rsid w:val="00B0481C"/>
    <w:rsid w:val="00B0558E"/>
    <w:rsid w:val="00B06F8D"/>
    <w:rsid w:val="00B0EAE9"/>
    <w:rsid w:val="00B16158"/>
    <w:rsid w:val="00B217A4"/>
    <w:rsid w:val="00B21F30"/>
    <w:rsid w:val="00B229DC"/>
    <w:rsid w:val="00B2467D"/>
    <w:rsid w:val="00B24F79"/>
    <w:rsid w:val="00B26462"/>
    <w:rsid w:val="00B31F91"/>
    <w:rsid w:val="00B329F2"/>
    <w:rsid w:val="00B4066C"/>
    <w:rsid w:val="00B40B05"/>
    <w:rsid w:val="00B41739"/>
    <w:rsid w:val="00B42843"/>
    <w:rsid w:val="00B430BA"/>
    <w:rsid w:val="00B44132"/>
    <w:rsid w:val="00B45FDB"/>
    <w:rsid w:val="00B471BB"/>
    <w:rsid w:val="00B501E4"/>
    <w:rsid w:val="00B5065F"/>
    <w:rsid w:val="00B51963"/>
    <w:rsid w:val="00B55DEF"/>
    <w:rsid w:val="00B5780D"/>
    <w:rsid w:val="00B57EE4"/>
    <w:rsid w:val="00B62B45"/>
    <w:rsid w:val="00B63117"/>
    <w:rsid w:val="00B63198"/>
    <w:rsid w:val="00B641EC"/>
    <w:rsid w:val="00B645B7"/>
    <w:rsid w:val="00B64A62"/>
    <w:rsid w:val="00B654BA"/>
    <w:rsid w:val="00B65E19"/>
    <w:rsid w:val="00B66418"/>
    <w:rsid w:val="00B66D25"/>
    <w:rsid w:val="00B70097"/>
    <w:rsid w:val="00B71732"/>
    <w:rsid w:val="00B72FD4"/>
    <w:rsid w:val="00B731F7"/>
    <w:rsid w:val="00B74EBC"/>
    <w:rsid w:val="00B75C65"/>
    <w:rsid w:val="00B7616D"/>
    <w:rsid w:val="00B76405"/>
    <w:rsid w:val="00B7743C"/>
    <w:rsid w:val="00B80750"/>
    <w:rsid w:val="00B80BEA"/>
    <w:rsid w:val="00B80CB3"/>
    <w:rsid w:val="00B81856"/>
    <w:rsid w:val="00B82869"/>
    <w:rsid w:val="00B82EFA"/>
    <w:rsid w:val="00B8339B"/>
    <w:rsid w:val="00B85135"/>
    <w:rsid w:val="00B85428"/>
    <w:rsid w:val="00B85880"/>
    <w:rsid w:val="00B86288"/>
    <w:rsid w:val="00B86E2A"/>
    <w:rsid w:val="00B87137"/>
    <w:rsid w:val="00B90577"/>
    <w:rsid w:val="00B910EA"/>
    <w:rsid w:val="00B911AA"/>
    <w:rsid w:val="00B932F4"/>
    <w:rsid w:val="00B94A35"/>
    <w:rsid w:val="00B94B42"/>
    <w:rsid w:val="00B94CA2"/>
    <w:rsid w:val="00B94D1A"/>
    <w:rsid w:val="00B963F0"/>
    <w:rsid w:val="00B96F63"/>
    <w:rsid w:val="00BA0ED8"/>
    <w:rsid w:val="00BA1361"/>
    <w:rsid w:val="00BA499C"/>
    <w:rsid w:val="00BA5FB0"/>
    <w:rsid w:val="00BA6C1A"/>
    <w:rsid w:val="00BB0190"/>
    <w:rsid w:val="00BB3768"/>
    <w:rsid w:val="00BB46C4"/>
    <w:rsid w:val="00BB7908"/>
    <w:rsid w:val="00BC2A12"/>
    <w:rsid w:val="00BC42A4"/>
    <w:rsid w:val="00BC4B42"/>
    <w:rsid w:val="00BC4CE7"/>
    <w:rsid w:val="00BC4EEB"/>
    <w:rsid w:val="00BC641A"/>
    <w:rsid w:val="00BC7A6C"/>
    <w:rsid w:val="00BD14FA"/>
    <w:rsid w:val="00BD315C"/>
    <w:rsid w:val="00BD4167"/>
    <w:rsid w:val="00BD4798"/>
    <w:rsid w:val="00BD4956"/>
    <w:rsid w:val="00BD4F6F"/>
    <w:rsid w:val="00BD7916"/>
    <w:rsid w:val="00BE0CC6"/>
    <w:rsid w:val="00BE2315"/>
    <w:rsid w:val="00BE5212"/>
    <w:rsid w:val="00BE665F"/>
    <w:rsid w:val="00BE7AA9"/>
    <w:rsid w:val="00BE7CDD"/>
    <w:rsid w:val="00BF2AB3"/>
    <w:rsid w:val="00BF3235"/>
    <w:rsid w:val="00BF399C"/>
    <w:rsid w:val="00BF39D8"/>
    <w:rsid w:val="00BF5AF8"/>
    <w:rsid w:val="00BF5C4F"/>
    <w:rsid w:val="00BF66BE"/>
    <w:rsid w:val="00BF78B9"/>
    <w:rsid w:val="00BF7A21"/>
    <w:rsid w:val="00C00404"/>
    <w:rsid w:val="00C00A4B"/>
    <w:rsid w:val="00C0199D"/>
    <w:rsid w:val="00C04614"/>
    <w:rsid w:val="00C06716"/>
    <w:rsid w:val="00C07260"/>
    <w:rsid w:val="00C07960"/>
    <w:rsid w:val="00C07E74"/>
    <w:rsid w:val="00C1001A"/>
    <w:rsid w:val="00C1002A"/>
    <w:rsid w:val="00C103B7"/>
    <w:rsid w:val="00C10990"/>
    <w:rsid w:val="00C10DB9"/>
    <w:rsid w:val="00C129E1"/>
    <w:rsid w:val="00C13158"/>
    <w:rsid w:val="00C133DE"/>
    <w:rsid w:val="00C166FD"/>
    <w:rsid w:val="00C220F2"/>
    <w:rsid w:val="00C2255C"/>
    <w:rsid w:val="00C2633F"/>
    <w:rsid w:val="00C26422"/>
    <w:rsid w:val="00C2753B"/>
    <w:rsid w:val="00C27BDD"/>
    <w:rsid w:val="00C30A0E"/>
    <w:rsid w:val="00C310DB"/>
    <w:rsid w:val="00C322C2"/>
    <w:rsid w:val="00C349CD"/>
    <w:rsid w:val="00C3572E"/>
    <w:rsid w:val="00C357E9"/>
    <w:rsid w:val="00C35C60"/>
    <w:rsid w:val="00C414A9"/>
    <w:rsid w:val="00C41B1D"/>
    <w:rsid w:val="00C42AE3"/>
    <w:rsid w:val="00C42EC5"/>
    <w:rsid w:val="00C43AA5"/>
    <w:rsid w:val="00C443F7"/>
    <w:rsid w:val="00C44FE1"/>
    <w:rsid w:val="00C4780D"/>
    <w:rsid w:val="00C47872"/>
    <w:rsid w:val="00C51122"/>
    <w:rsid w:val="00C51C12"/>
    <w:rsid w:val="00C5279E"/>
    <w:rsid w:val="00C52AB0"/>
    <w:rsid w:val="00C52FD8"/>
    <w:rsid w:val="00C53DD7"/>
    <w:rsid w:val="00C57A53"/>
    <w:rsid w:val="00C60470"/>
    <w:rsid w:val="00C63789"/>
    <w:rsid w:val="00C63F89"/>
    <w:rsid w:val="00C64214"/>
    <w:rsid w:val="00C662F6"/>
    <w:rsid w:val="00C706E5"/>
    <w:rsid w:val="00C71C11"/>
    <w:rsid w:val="00C71CF3"/>
    <w:rsid w:val="00C74E9F"/>
    <w:rsid w:val="00C7564A"/>
    <w:rsid w:val="00C75ADA"/>
    <w:rsid w:val="00C75C72"/>
    <w:rsid w:val="00C7763A"/>
    <w:rsid w:val="00C8039F"/>
    <w:rsid w:val="00C82748"/>
    <w:rsid w:val="00C828AE"/>
    <w:rsid w:val="00C82D93"/>
    <w:rsid w:val="00C8345F"/>
    <w:rsid w:val="00C838C6"/>
    <w:rsid w:val="00C853F4"/>
    <w:rsid w:val="00C85998"/>
    <w:rsid w:val="00C87E05"/>
    <w:rsid w:val="00C92816"/>
    <w:rsid w:val="00C92A1D"/>
    <w:rsid w:val="00C92AF8"/>
    <w:rsid w:val="00C92C9D"/>
    <w:rsid w:val="00C94766"/>
    <w:rsid w:val="00C95EA0"/>
    <w:rsid w:val="00C971F6"/>
    <w:rsid w:val="00CB120E"/>
    <w:rsid w:val="00CB2C86"/>
    <w:rsid w:val="00CB3713"/>
    <w:rsid w:val="00CB5272"/>
    <w:rsid w:val="00CB61AB"/>
    <w:rsid w:val="00CC0B58"/>
    <w:rsid w:val="00CC3A32"/>
    <w:rsid w:val="00CC3E8D"/>
    <w:rsid w:val="00CC4065"/>
    <w:rsid w:val="00CC4FAF"/>
    <w:rsid w:val="00CC5BAD"/>
    <w:rsid w:val="00CC7760"/>
    <w:rsid w:val="00CC7C8A"/>
    <w:rsid w:val="00CD060A"/>
    <w:rsid w:val="00CD0695"/>
    <w:rsid w:val="00CD09E1"/>
    <w:rsid w:val="00CD4CD7"/>
    <w:rsid w:val="00CD4D68"/>
    <w:rsid w:val="00CD5824"/>
    <w:rsid w:val="00CD7C82"/>
    <w:rsid w:val="00CE09DE"/>
    <w:rsid w:val="00CE14FC"/>
    <w:rsid w:val="00CE1597"/>
    <w:rsid w:val="00CE24EE"/>
    <w:rsid w:val="00CE250B"/>
    <w:rsid w:val="00CE2E83"/>
    <w:rsid w:val="00CE3FAD"/>
    <w:rsid w:val="00CE4189"/>
    <w:rsid w:val="00CE551F"/>
    <w:rsid w:val="00CE7FC3"/>
    <w:rsid w:val="00CF4645"/>
    <w:rsid w:val="00CF5A03"/>
    <w:rsid w:val="00CF7B47"/>
    <w:rsid w:val="00D01FC5"/>
    <w:rsid w:val="00D0595D"/>
    <w:rsid w:val="00D06CB3"/>
    <w:rsid w:val="00D0769A"/>
    <w:rsid w:val="00D1093E"/>
    <w:rsid w:val="00D10C4C"/>
    <w:rsid w:val="00D10CCA"/>
    <w:rsid w:val="00D139B9"/>
    <w:rsid w:val="00D1535F"/>
    <w:rsid w:val="00D153B9"/>
    <w:rsid w:val="00D16960"/>
    <w:rsid w:val="00D16A19"/>
    <w:rsid w:val="00D21E0C"/>
    <w:rsid w:val="00D225E5"/>
    <w:rsid w:val="00D2322D"/>
    <w:rsid w:val="00D26452"/>
    <w:rsid w:val="00D2655A"/>
    <w:rsid w:val="00D2725B"/>
    <w:rsid w:val="00D3298C"/>
    <w:rsid w:val="00D331F5"/>
    <w:rsid w:val="00D335F0"/>
    <w:rsid w:val="00D33607"/>
    <w:rsid w:val="00D3436D"/>
    <w:rsid w:val="00D345CE"/>
    <w:rsid w:val="00D354F1"/>
    <w:rsid w:val="00D35637"/>
    <w:rsid w:val="00D357EE"/>
    <w:rsid w:val="00D36201"/>
    <w:rsid w:val="00D36D6A"/>
    <w:rsid w:val="00D37565"/>
    <w:rsid w:val="00D4295A"/>
    <w:rsid w:val="00D42B05"/>
    <w:rsid w:val="00D46A5B"/>
    <w:rsid w:val="00D46C46"/>
    <w:rsid w:val="00D47036"/>
    <w:rsid w:val="00D5068B"/>
    <w:rsid w:val="00D50B8F"/>
    <w:rsid w:val="00D533D7"/>
    <w:rsid w:val="00D53812"/>
    <w:rsid w:val="00D53D6C"/>
    <w:rsid w:val="00D551B1"/>
    <w:rsid w:val="00D5636F"/>
    <w:rsid w:val="00D60607"/>
    <w:rsid w:val="00D607EF"/>
    <w:rsid w:val="00D60929"/>
    <w:rsid w:val="00D618A6"/>
    <w:rsid w:val="00D61E81"/>
    <w:rsid w:val="00D62430"/>
    <w:rsid w:val="00D626E0"/>
    <w:rsid w:val="00D6425D"/>
    <w:rsid w:val="00D64D15"/>
    <w:rsid w:val="00D659FC"/>
    <w:rsid w:val="00D67D5B"/>
    <w:rsid w:val="00D70B9B"/>
    <w:rsid w:val="00D71C4D"/>
    <w:rsid w:val="00D7332A"/>
    <w:rsid w:val="00D75064"/>
    <w:rsid w:val="00D76DD4"/>
    <w:rsid w:val="00D77986"/>
    <w:rsid w:val="00D80F26"/>
    <w:rsid w:val="00D833FC"/>
    <w:rsid w:val="00D83FAD"/>
    <w:rsid w:val="00D85F02"/>
    <w:rsid w:val="00D87B87"/>
    <w:rsid w:val="00D87E91"/>
    <w:rsid w:val="00D9173B"/>
    <w:rsid w:val="00D91ACD"/>
    <w:rsid w:val="00D92F7F"/>
    <w:rsid w:val="00D93AEE"/>
    <w:rsid w:val="00D93FF6"/>
    <w:rsid w:val="00D94039"/>
    <w:rsid w:val="00D95750"/>
    <w:rsid w:val="00DA2857"/>
    <w:rsid w:val="00DA408A"/>
    <w:rsid w:val="00DA5418"/>
    <w:rsid w:val="00DA6390"/>
    <w:rsid w:val="00DB1087"/>
    <w:rsid w:val="00DB28DA"/>
    <w:rsid w:val="00DB3DBC"/>
    <w:rsid w:val="00DB42E7"/>
    <w:rsid w:val="00DB5615"/>
    <w:rsid w:val="00DC0642"/>
    <w:rsid w:val="00DC1328"/>
    <w:rsid w:val="00DC18A2"/>
    <w:rsid w:val="00DC1BB3"/>
    <w:rsid w:val="00DC1F88"/>
    <w:rsid w:val="00DC37E5"/>
    <w:rsid w:val="00DC48D0"/>
    <w:rsid w:val="00DC5069"/>
    <w:rsid w:val="00DC58D1"/>
    <w:rsid w:val="00DC6641"/>
    <w:rsid w:val="00DD0914"/>
    <w:rsid w:val="00DD2684"/>
    <w:rsid w:val="00DD2A1D"/>
    <w:rsid w:val="00DD5CEE"/>
    <w:rsid w:val="00DD6022"/>
    <w:rsid w:val="00DE0461"/>
    <w:rsid w:val="00DE0599"/>
    <w:rsid w:val="00DE1D2B"/>
    <w:rsid w:val="00DE3988"/>
    <w:rsid w:val="00DE5055"/>
    <w:rsid w:val="00DF0C6E"/>
    <w:rsid w:val="00DF14FE"/>
    <w:rsid w:val="00DF21F1"/>
    <w:rsid w:val="00DF2E50"/>
    <w:rsid w:val="00DF523E"/>
    <w:rsid w:val="00DF7380"/>
    <w:rsid w:val="00E00331"/>
    <w:rsid w:val="00E02568"/>
    <w:rsid w:val="00E05257"/>
    <w:rsid w:val="00E054F7"/>
    <w:rsid w:val="00E06652"/>
    <w:rsid w:val="00E078B8"/>
    <w:rsid w:val="00E113F8"/>
    <w:rsid w:val="00E13812"/>
    <w:rsid w:val="00E22182"/>
    <w:rsid w:val="00E30476"/>
    <w:rsid w:val="00E3085E"/>
    <w:rsid w:val="00E30959"/>
    <w:rsid w:val="00E3294E"/>
    <w:rsid w:val="00E35727"/>
    <w:rsid w:val="00E404EC"/>
    <w:rsid w:val="00E40646"/>
    <w:rsid w:val="00E410AB"/>
    <w:rsid w:val="00E42483"/>
    <w:rsid w:val="00E433F9"/>
    <w:rsid w:val="00E4350E"/>
    <w:rsid w:val="00E43816"/>
    <w:rsid w:val="00E439AD"/>
    <w:rsid w:val="00E43C73"/>
    <w:rsid w:val="00E45105"/>
    <w:rsid w:val="00E45895"/>
    <w:rsid w:val="00E464B1"/>
    <w:rsid w:val="00E4768D"/>
    <w:rsid w:val="00E50BF2"/>
    <w:rsid w:val="00E53A9C"/>
    <w:rsid w:val="00E543BE"/>
    <w:rsid w:val="00E5455E"/>
    <w:rsid w:val="00E56870"/>
    <w:rsid w:val="00E56B18"/>
    <w:rsid w:val="00E60302"/>
    <w:rsid w:val="00E61BBD"/>
    <w:rsid w:val="00E63448"/>
    <w:rsid w:val="00E635F6"/>
    <w:rsid w:val="00E72D3C"/>
    <w:rsid w:val="00E7311A"/>
    <w:rsid w:val="00E73C9B"/>
    <w:rsid w:val="00E73D9F"/>
    <w:rsid w:val="00E75961"/>
    <w:rsid w:val="00E76274"/>
    <w:rsid w:val="00E76C52"/>
    <w:rsid w:val="00E76FAD"/>
    <w:rsid w:val="00E77CFD"/>
    <w:rsid w:val="00E803A4"/>
    <w:rsid w:val="00E81468"/>
    <w:rsid w:val="00E81A3A"/>
    <w:rsid w:val="00E8327F"/>
    <w:rsid w:val="00E83393"/>
    <w:rsid w:val="00E84B94"/>
    <w:rsid w:val="00E851A1"/>
    <w:rsid w:val="00E85D59"/>
    <w:rsid w:val="00E85F2D"/>
    <w:rsid w:val="00E86640"/>
    <w:rsid w:val="00E87067"/>
    <w:rsid w:val="00E8774D"/>
    <w:rsid w:val="00E90412"/>
    <w:rsid w:val="00E906C9"/>
    <w:rsid w:val="00E918C9"/>
    <w:rsid w:val="00E955D4"/>
    <w:rsid w:val="00E96849"/>
    <w:rsid w:val="00E96A8A"/>
    <w:rsid w:val="00E96B5B"/>
    <w:rsid w:val="00E97084"/>
    <w:rsid w:val="00EA0189"/>
    <w:rsid w:val="00EA1EF5"/>
    <w:rsid w:val="00EA5444"/>
    <w:rsid w:val="00EA633E"/>
    <w:rsid w:val="00EB01DC"/>
    <w:rsid w:val="00EB1D32"/>
    <w:rsid w:val="00EB2A6B"/>
    <w:rsid w:val="00EB3240"/>
    <w:rsid w:val="00EB360D"/>
    <w:rsid w:val="00EB3C38"/>
    <w:rsid w:val="00EB54D4"/>
    <w:rsid w:val="00EB566B"/>
    <w:rsid w:val="00EB6297"/>
    <w:rsid w:val="00EB6F1E"/>
    <w:rsid w:val="00EB74EF"/>
    <w:rsid w:val="00EB7D1A"/>
    <w:rsid w:val="00EC0588"/>
    <w:rsid w:val="00EC19C1"/>
    <w:rsid w:val="00EC360B"/>
    <w:rsid w:val="00EC3A3A"/>
    <w:rsid w:val="00EC3B5F"/>
    <w:rsid w:val="00EC6317"/>
    <w:rsid w:val="00EC7063"/>
    <w:rsid w:val="00EC71C2"/>
    <w:rsid w:val="00ED012E"/>
    <w:rsid w:val="00ED0B09"/>
    <w:rsid w:val="00ED0F61"/>
    <w:rsid w:val="00ED1F03"/>
    <w:rsid w:val="00ED292F"/>
    <w:rsid w:val="00ED2BCE"/>
    <w:rsid w:val="00ED2FCF"/>
    <w:rsid w:val="00ED326C"/>
    <w:rsid w:val="00ED6A0D"/>
    <w:rsid w:val="00EE017C"/>
    <w:rsid w:val="00EE2CA4"/>
    <w:rsid w:val="00EE2CA6"/>
    <w:rsid w:val="00EE55E1"/>
    <w:rsid w:val="00EE5DA3"/>
    <w:rsid w:val="00EE6EBE"/>
    <w:rsid w:val="00EE7A6B"/>
    <w:rsid w:val="00EF0828"/>
    <w:rsid w:val="00EF1076"/>
    <w:rsid w:val="00EF27BD"/>
    <w:rsid w:val="00EF3412"/>
    <w:rsid w:val="00F00DDC"/>
    <w:rsid w:val="00F022C3"/>
    <w:rsid w:val="00F023BD"/>
    <w:rsid w:val="00F02D1F"/>
    <w:rsid w:val="00F05E51"/>
    <w:rsid w:val="00F1143C"/>
    <w:rsid w:val="00F11838"/>
    <w:rsid w:val="00F11A6A"/>
    <w:rsid w:val="00F122C1"/>
    <w:rsid w:val="00F12D5F"/>
    <w:rsid w:val="00F140E1"/>
    <w:rsid w:val="00F14555"/>
    <w:rsid w:val="00F14D6E"/>
    <w:rsid w:val="00F159EF"/>
    <w:rsid w:val="00F21914"/>
    <w:rsid w:val="00F21AFC"/>
    <w:rsid w:val="00F22E23"/>
    <w:rsid w:val="00F244ED"/>
    <w:rsid w:val="00F27E99"/>
    <w:rsid w:val="00F3124B"/>
    <w:rsid w:val="00F31D36"/>
    <w:rsid w:val="00F3227D"/>
    <w:rsid w:val="00F32AA4"/>
    <w:rsid w:val="00F34DDA"/>
    <w:rsid w:val="00F37941"/>
    <w:rsid w:val="00F4137C"/>
    <w:rsid w:val="00F41BC9"/>
    <w:rsid w:val="00F4391F"/>
    <w:rsid w:val="00F443A1"/>
    <w:rsid w:val="00F44BE7"/>
    <w:rsid w:val="00F44FE8"/>
    <w:rsid w:val="00F4509A"/>
    <w:rsid w:val="00F459D9"/>
    <w:rsid w:val="00F4662C"/>
    <w:rsid w:val="00F50793"/>
    <w:rsid w:val="00F512D5"/>
    <w:rsid w:val="00F51C24"/>
    <w:rsid w:val="00F52012"/>
    <w:rsid w:val="00F5243A"/>
    <w:rsid w:val="00F52FAD"/>
    <w:rsid w:val="00F5355C"/>
    <w:rsid w:val="00F54576"/>
    <w:rsid w:val="00F5563F"/>
    <w:rsid w:val="00F5594B"/>
    <w:rsid w:val="00F55CFF"/>
    <w:rsid w:val="00F60774"/>
    <w:rsid w:val="00F60FA5"/>
    <w:rsid w:val="00F61104"/>
    <w:rsid w:val="00F62307"/>
    <w:rsid w:val="00F631A3"/>
    <w:rsid w:val="00F63E05"/>
    <w:rsid w:val="00F64886"/>
    <w:rsid w:val="00F66295"/>
    <w:rsid w:val="00F67B24"/>
    <w:rsid w:val="00F704F1"/>
    <w:rsid w:val="00F70912"/>
    <w:rsid w:val="00F71CA4"/>
    <w:rsid w:val="00F7516B"/>
    <w:rsid w:val="00F76993"/>
    <w:rsid w:val="00F80AE2"/>
    <w:rsid w:val="00F8247C"/>
    <w:rsid w:val="00F82FE4"/>
    <w:rsid w:val="00F83732"/>
    <w:rsid w:val="00F91615"/>
    <w:rsid w:val="00F9462D"/>
    <w:rsid w:val="00F95943"/>
    <w:rsid w:val="00F96480"/>
    <w:rsid w:val="00F96A1C"/>
    <w:rsid w:val="00F9770B"/>
    <w:rsid w:val="00FA082E"/>
    <w:rsid w:val="00FA0DB9"/>
    <w:rsid w:val="00FA1E16"/>
    <w:rsid w:val="00FA1E21"/>
    <w:rsid w:val="00FA280B"/>
    <w:rsid w:val="00FA33A9"/>
    <w:rsid w:val="00FA3BA4"/>
    <w:rsid w:val="00FA5D6B"/>
    <w:rsid w:val="00FB0313"/>
    <w:rsid w:val="00FB1119"/>
    <w:rsid w:val="00FB16C0"/>
    <w:rsid w:val="00FB3591"/>
    <w:rsid w:val="00FB3D0D"/>
    <w:rsid w:val="00FB5255"/>
    <w:rsid w:val="00FB6323"/>
    <w:rsid w:val="00FB79E0"/>
    <w:rsid w:val="00FC0998"/>
    <w:rsid w:val="00FC1384"/>
    <w:rsid w:val="00FC35D4"/>
    <w:rsid w:val="00FC3B7E"/>
    <w:rsid w:val="00FC5485"/>
    <w:rsid w:val="00FC73E2"/>
    <w:rsid w:val="00FC7C33"/>
    <w:rsid w:val="00FD2230"/>
    <w:rsid w:val="00FD2996"/>
    <w:rsid w:val="00FD5828"/>
    <w:rsid w:val="00FD6070"/>
    <w:rsid w:val="00FD67E4"/>
    <w:rsid w:val="00FD6826"/>
    <w:rsid w:val="00FD70E7"/>
    <w:rsid w:val="00FD73F8"/>
    <w:rsid w:val="00FE24CE"/>
    <w:rsid w:val="00FE34F3"/>
    <w:rsid w:val="00FE5859"/>
    <w:rsid w:val="00FE5EE9"/>
    <w:rsid w:val="00FE5F78"/>
    <w:rsid w:val="00FE632F"/>
    <w:rsid w:val="00FE6FD9"/>
    <w:rsid w:val="00FE7155"/>
    <w:rsid w:val="00FE7612"/>
    <w:rsid w:val="00FE7F05"/>
    <w:rsid w:val="00FF3444"/>
    <w:rsid w:val="00FF3B71"/>
    <w:rsid w:val="00FF4A8A"/>
    <w:rsid w:val="0162CBEF"/>
    <w:rsid w:val="016E2064"/>
    <w:rsid w:val="0179CA84"/>
    <w:rsid w:val="01BE7E76"/>
    <w:rsid w:val="01C6D2D3"/>
    <w:rsid w:val="02351ABB"/>
    <w:rsid w:val="026081E4"/>
    <w:rsid w:val="02D980B4"/>
    <w:rsid w:val="03079D24"/>
    <w:rsid w:val="03A45BC7"/>
    <w:rsid w:val="043ED997"/>
    <w:rsid w:val="045AADC2"/>
    <w:rsid w:val="04B30C0F"/>
    <w:rsid w:val="04BCB549"/>
    <w:rsid w:val="04F68EB7"/>
    <w:rsid w:val="0524CC9F"/>
    <w:rsid w:val="0542309E"/>
    <w:rsid w:val="054365A9"/>
    <w:rsid w:val="05517041"/>
    <w:rsid w:val="056C5704"/>
    <w:rsid w:val="05C77CED"/>
    <w:rsid w:val="05E6A023"/>
    <w:rsid w:val="061D8051"/>
    <w:rsid w:val="061FEF21"/>
    <w:rsid w:val="062B0825"/>
    <w:rsid w:val="066E5B9D"/>
    <w:rsid w:val="067A4725"/>
    <w:rsid w:val="06A0EED5"/>
    <w:rsid w:val="06F666AE"/>
    <w:rsid w:val="06FF5124"/>
    <w:rsid w:val="07352D75"/>
    <w:rsid w:val="07358503"/>
    <w:rsid w:val="075EBA5F"/>
    <w:rsid w:val="07672BC6"/>
    <w:rsid w:val="0810C13D"/>
    <w:rsid w:val="084F2C0B"/>
    <w:rsid w:val="08779C1A"/>
    <w:rsid w:val="08D02FFC"/>
    <w:rsid w:val="0991C153"/>
    <w:rsid w:val="099D8294"/>
    <w:rsid w:val="09B44996"/>
    <w:rsid w:val="09BDE34D"/>
    <w:rsid w:val="09D0D540"/>
    <w:rsid w:val="09ED870C"/>
    <w:rsid w:val="0A08DBCB"/>
    <w:rsid w:val="0A3A4B17"/>
    <w:rsid w:val="0A4246A6"/>
    <w:rsid w:val="0A769E15"/>
    <w:rsid w:val="0A84D585"/>
    <w:rsid w:val="0AB9C87A"/>
    <w:rsid w:val="0B55730E"/>
    <w:rsid w:val="0B7D8EE8"/>
    <w:rsid w:val="0B8DDBC9"/>
    <w:rsid w:val="0B9631B2"/>
    <w:rsid w:val="0B9BBF79"/>
    <w:rsid w:val="0BDE4E68"/>
    <w:rsid w:val="0BED904F"/>
    <w:rsid w:val="0C7CC63A"/>
    <w:rsid w:val="0CD9BE21"/>
    <w:rsid w:val="0CE6EA89"/>
    <w:rsid w:val="0D277BF0"/>
    <w:rsid w:val="0D2B2904"/>
    <w:rsid w:val="0D78ECB1"/>
    <w:rsid w:val="0D81CED0"/>
    <w:rsid w:val="0DAE8369"/>
    <w:rsid w:val="0DB1560B"/>
    <w:rsid w:val="0DE8669B"/>
    <w:rsid w:val="0E316068"/>
    <w:rsid w:val="0E54718C"/>
    <w:rsid w:val="0EA2A551"/>
    <w:rsid w:val="0F2B873B"/>
    <w:rsid w:val="0F2C42A7"/>
    <w:rsid w:val="0F333199"/>
    <w:rsid w:val="0F4F7BED"/>
    <w:rsid w:val="0F5562F0"/>
    <w:rsid w:val="0F5A6DFA"/>
    <w:rsid w:val="0F9B0F6E"/>
    <w:rsid w:val="0FAC5938"/>
    <w:rsid w:val="0FB4A51E"/>
    <w:rsid w:val="0FCA4C67"/>
    <w:rsid w:val="1007C5CA"/>
    <w:rsid w:val="1012D454"/>
    <w:rsid w:val="105E22D8"/>
    <w:rsid w:val="1099921B"/>
    <w:rsid w:val="10AA434B"/>
    <w:rsid w:val="10B5A0CF"/>
    <w:rsid w:val="10B74041"/>
    <w:rsid w:val="116B9E7E"/>
    <w:rsid w:val="11ADA169"/>
    <w:rsid w:val="11B969DE"/>
    <w:rsid w:val="11DBD5AB"/>
    <w:rsid w:val="11EF74CC"/>
    <w:rsid w:val="1216E8B3"/>
    <w:rsid w:val="122A5F21"/>
    <w:rsid w:val="124E05E1"/>
    <w:rsid w:val="13406C71"/>
    <w:rsid w:val="138E5531"/>
    <w:rsid w:val="139B9283"/>
    <w:rsid w:val="13FC8369"/>
    <w:rsid w:val="144B231E"/>
    <w:rsid w:val="14580E3B"/>
    <w:rsid w:val="146F85BB"/>
    <w:rsid w:val="1477F772"/>
    <w:rsid w:val="1478ABC3"/>
    <w:rsid w:val="14981A88"/>
    <w:rsid w:val="149E4CF6"/>
    <w:rsid w:val="14EEA30C"/>
    <w:rsid w:val="151B4FD8"/>
    <w:rsid w:val="15686B26"/>
    <w:rsid w:val="156952A1"/>
    <w:rsid w:val="1590C330"/>
    <w:rsid w:val="15A4A7DF"/>
    <w:rsid w:val="15EBD607"/>
    <w:rsid w:val="1633C897"/>
    <w:rsid w:val="1653E198"/>
    <w:rsid w:val="16865A27"/>
    <w:rsid w:val="1697B561"/>
    <w:rsid w:val="16C37AD0"/>
    <w:rsid w:val="16C6EAEC"/>
    <w:rsid w:val="174D31BB"/>
    <w:rsid w:val="17783938"/>
    <w:rsid w:val="17928590"/>
    <w:rsid w:val="17F37588"/>
    <w:rsid w:val="1815DE0A"/>
    <w:rsid w:val="18402CC0"/>
    <w:rsid w:val="18CC386C"/>
    <w:rsid w:val="18D30E7C"/>
    <w:rsid w:val="19219D81"/>
    <w:rsid w:val="1934F2EB"/>
    <w:rsid w:val="199F5EEA"/>
    <w:rsid w:val="19B5B823"/>
    <w:rsid w:val="19F51F85"/>
    <w:rsid w:val="1A1D3D14"/>
    <w:rsid w:val="1A50D1BB"/>
    <w:rsid w:val="1A8FD9D8"/>
    <w:rsid w:val="1AD3F52B"/>
    <w:rsid w:val="1B2F5244"/>
    <w:rsid w:val="1BACB6DE"/>
    <w:rsid w:val="1BC2C210"/>
    <w:rsid w:val="1BDF7943"/>
    <w:rsid w:val="1C0C2EBA"/>
    <w:rsid w:val="1C36077A"/>
    <w:rsid w:val="1CAC597C"/>
    <w:rsid w:val="1CDDF71D"/>
    <w:rsid w:val="1CE98BC3"/>
    <w:rsid w:val="1D05072B"/>
    <w:rsid w:val="1D4E870F"/>
    <w:rsid w:val="1DADCDB6"/>
    <w:rsid w:val="1DCBD2C5"/>
    <w:rsid w:val="1DE43950"/>
    <w:rsid w:val="1E5DDB86"/>
    <w:rsid w:val="1E73D5C8"/>
    <w:rsid w:val="1E801002"/>
    <w:rsid w:val="1E9E592C"/>
    <w:rsid w:val="1EA4D5C3"/>
    <w:rsid w:val="1EE902CC"/>
    <w:rsid w:val="1F1DA285"/>
    <w:rsid w:val="1FAF84EE"/>
    <w:rsid w:val="1FB26A86"/>
    <w:rsid w:val="1FBE8F07"/>
    <w:rsid w:val="2041FA74"/>
    <w:rsid w:val="207F65D4"/>
    <w:rsid w:val="209553A4"/>
    <w:rsid w:val="20DB48B0"/>
    <w:rsid w:val="20E35AFD"/>
    <w:rsid w:val="20ED6636"/>
    <w:rsid w:val="210DDD5B"/>
    <w:rsid w:val="2115FEE1"/>
    <w:rsid w:val="21999F15"/>
    <w:rsid w:val="219A1FFE"/>
    <w:rsid w:val="21A09368"/>
    <w:rsid w:val="21A4E5D4"/>
    <w:rsid w:val="21BB83FF"/>
    <w:rsid w:val="21CCDC80"/>
    <w:rsid w:val="2200DA35"/>
    <w:rsid w:val="220F6CE6"/>
    <w:rsid w:val="2242B7C0"/>
    <w:rsid w:val="228FA244"/>
    <w:rsid w:val="22E9D7E0"/>
    <w:rsid w:val="22EE2AEA"/>
    <w:rsid w:val="22FEBB54"/>
    <w:rsid w:val="2382216F"/>
    <w:rsid w:val="239DF9C9"/>
    <w:rsid w:val="23DA9242"/>
    <w:rsid w:val="23ECBEDE"/>
    <w:rsid w:val="2406AD8F"/>
    <w:rsid w:val="24958101"/>
    <w:rsid w:val="24D67A8B"/>
    <w:rsid w:val="24E0A29C"/>
    <w:rsid w:val="24E9E851"/>
    <w:rsid w:val="2503FD3F"/>
    <w:rsid w:val="2545815E"/>
    <w:rsid w:val="25990669"/>
    <w:rsid w:val="25E7CDB9"/>
    <w:rsid w:val="25E845B8"/>
    <w:rsid w:val="2602A709"/>
    <w:rsid w:val="262678F4"/>
    <w:rsid w:val="26E5635C"/>
    <w:rsid w:val="26FC3E7F"/>
    <w:rsid w:val="270F7EFE"/>
    <w:rsid w:val="271117AE"/>
    <w:rsid w:val="271655F7"/>
    <w:rsid w:val="27311471"/>
    <w:rsid w:val="27425753"/>
    <w:rsid w:val="27B279BF"/>
    <w:rsid w:val="27ECD317"/>
    <w:rsid w:val="2801DFAB"/>
    <w:rsid w:val="2824FC32"/>
    <w:rsid w:val="282DD272"/>
    <w:rsid w:val="2835B23A"/>
    <w:rsid w:val="28AA6F2A"/>
    <w:rsid w:val="28B35657"/>
    <w:rsid w:val="294A06B3"/>
    <w:rsid w:val="29551C1F"/>
    <w:rsid w:val="29553879"/>
    <w:rsid w:val="296F9FF6"/>
    <w:rsid w:val="29FA8FDD"/>
    <w:rsid w:val="2A1A9C89"/>
    <w:rsid w:val="2A69F208"/>
    <w:rsid w:val="2A97B351"/>
    <w:rsid w:val="2AF97CB4"/>
    <w:rsid w:val="2B003924"/>
    <w:rsid w:val="2B0186F1"/>
    <w:rsid w:val="2B43F3DE"/>
    <w:rsid w:val="2B6EB2D5"/>
    <w:rsid w:val="2BB7B300"/>
    <w:rsid w:val="2BC89A6C"/>
    <w:rsid w:val="2BEE9274"/>
    <w:rsid w:val="2BFB06FC"/>
    <w:rsid w:val="2C05C4DA"/>
    <w:rsid w:val="2C44A4CD"/>
    <w:rsid w:val="2CC5C9DB"/>
    <w:rsid w:val="2CD97FFF"/>
    <w:rsid w:val="2CF61191"/>
    <w:rsid w:val="2D4AD2B5"/>
    <w:rsid w:val="2D639B99"/>
    <w:rsid w:val="2D6DF8B7"/>
    <w:rsid w:val="2DF897C4"/>
    <w:rsid w:val="2E02426A"/>
    <w:rsid w:val="2E2DD34F"/>
    <w:rsid w:val="2EEDA003"/>
    <w:rsid w:val="2F2D0B26"/>
    <w:rsid w:val="2FA47642"/>
    <w:rsid w:val="2FF8153D"/>
    <w:rsid w:val="3010248E"/>
    <w:rsid w:val="3037F622"/>
    <w:rsid w:val="3089981F"/>
    <w:rsid w:val="30933FFD"/>
    <w:rsid w:val="3094F77E"/>
    <w:rsid w:val="309F2D62"/>
    <w:rsid w:val="30A56A84"/>
    <w:rsid w:val="31C65B16"/>
    <w:rsid w:val="31FE6E2B"/>
    <w:rsid w:val="322B2DD4"/>
    <w:rsid w:val="323A3155"/>
    <w:rsid w:val="329570CA"/>
    <w:rsid w:val="32B66FEF"/>
    <w:rsid w:val="32C39F27"/>
    <w:rsid w:val="32F35C0C"/>
    <w:rsid w:val="331CF450"/>
    <w:rsid w:val="33224E03"/>
    <w:rsid w:val="332B5F2B"/>
    <w:rsid w:val="33602069"/>
    <w:rsid w:val="3377FE37"/>
    <w:rsid w:val="34547785"/>
    <w:rsid w:val="346D7019"/>
    <w:rsid w:val="346DDED2"/>
    <w:rsid w:val="347B8D4D"/>
    <w:rsid w:val="350D08FC"/>
    <w:rsid w:val="35CF83E1"/>
    <w:rsid w:val="35EC326B"/>
    <w:rsid w:val="35F53A13"/>
    <w:rsid w:val="36290F4C"/>
    <w:rsid w:val="3635B576"/>
    <w:rsid w:val="363DF734"/>
    <w:rsid w:val="365F1313"/>
    <w:rsid w:val="3667B416"/>
    <w:rsid w:val="369E3926"/>
    <w:rsid w:val="36AC4A16"/>
    <w:rsid w:val="36DB78B3"/>
    <w:rsid w:val="36E154E3"/>
    <w:rsid w:val="3728695D"/>
    <w:rsid w:val="372B6846"/>
    <w:rsid w:val="3741C5C5"/>
    <w:rsid w:val="378DFFED"/>
    <w:rsid w:val="379D120C"/>
    <w:rsid w:val="37BACD7E"/>
    <w:rsid w:val="3825180C"/>
    <w:rsid w:val="383E7E97"/>
    <w:rsid w:val="38455D21"/>
    <w:rsid w:val="38881196"/>
    <w:rsid w:val="39550AE2"/>
    <w:rsid w:val="3966EFB5"/>
    <w:rsid w:val="3977DD8F"/>
    <w:rsid w:val="39803B46"/>
    <w:rsid w:val="398A05BB"/>
    <w:rsid w:val="39BA2F6E"/>
    <w:rsid w:val="39BF4230"/>
    <w:rsid w:val="3A0F3852"/>
    <w:rsid w:val="3A748A8E"/>
    <w:rsid w:val="3A95B01D"/>
    <w:rsid w:val="3AFA79BA"/>
    <w:rsid w:val="3B3200FC"/>
    <w:rsid w:val="3B4E9986"/>
    <w:rsid w:val="3B86F9CA"/>
    <w:rsid w:val="3BA8C6AA"/>
    <w:rsid w:val="3BEC1CE1"/>
    <w:rsid w:val="3C2D05CD"/>
    <w:rsid w:val="3C98DAB2"/>
    <w:rsid w:val="3CC69DC8"/>
    <w:rsid w:val="3D4288E5"/>
    <w:rsid w:val="3D5ABEC7"/>
    <w:rsid w:val="3DF827FC"/>
    <w:rsid w:val="3E58A622"/>
    <w:rsid w:val="3E5A3945"/>
    <w:rsid w:val="3E6F1B33"/>
    <w:rsid w:val="3E794576"/>
    <w:rsid w:val="3E87F9F5"/>
    <w:rsid w:val="3EB63C7F"/>
    <w:rsid w:val="3F07B444"/>
    <w:rsid w:val="3F3EEDB1"/>
    <w:rsid w:val="3F466550"/>
    <w:rsid w:val="3F5395EF"/>
    <w:rsid w:val="3F78828F"/>
    <w:rsid w:val="3FA3D862"/>
    <w:rsid w:val="404332BD"/>
    <w:rsid w:val="40438910"/>
    <w:rsid w:val="404A3E88"/>
    <w:rsid w:val="40536256"/>
    <w:rsid w:val="405A1DA0"/>
    <w:rsid w:val="4098AF03"/>
    <w:rsid w:val="40D01F1F"/>
    <w:rsid w:val="41272327"/>
    <w:rsid w:val="4194020C"/>
    <w:rsid w:val="41A1B26D"/>
    <w:rsid w:val="42039AD4"/>
    <w:rsid w:val="424D9481"/>
    <w:rsid w:val="43185F6E"/>
    <w:rsid w:val="436EF678"/>
    <w:rsid w:val="43E9D8B3"/>
    <w:rsid w:val="440D9523"/>
    <w:rsid w:val="44BA3151"/>
    <w:rsid w:val="44CB1450"/>
    <w:rsid w:val="44DB6833"/>
    <w:rsid w:val="451C40D5"/>
    <w:rsid w:val="45558D83"/>
    <w:rsid w:val="4585C769"/>
    <w:rsid w:val="45981882"/>
    <w:rsid w:val="45DB3135"/>
    <w:rsid w:val="464E278E"/>
    <w:rsid w:val="4675605A"/>
    <w:rsid w:val="468ABC63"/>
    <w:rsid w:val="4736AB7D"/>
    <w:rsid w:val="47555979"/>
    <w:rsid w:val="476567BE"/>
    <w:rsid w:val="47F01356"/>
    <w:rsid w:val="47FEAF49"/>
    <w:rsid w:val="48011E50"/>
    <w:rsid w:val="481F7E81"/>
    <w:rsid w:val="48201F34"/>
    <w:rsid w:val="4827A80C"/>
    <w:rsid w:val="485F4DD2"/>
    <w:rsid w:val="487A08C8"/>
    <w:rsid w:val="488EAEBB"/>
    <w:rsid w:val="48BB921B"/>
    <w:rsid w:val="48C7A914"/>
    <w:rsid w:val="48E4A24A"/>
    <w:rsid w:val="48FB7320"/>
    <w:rsid w:val="4911BE46"/>
    <w:rsid w:val="491EB048"/>
    <w:rsid w:val="4925ACF2"/>
    <w:rsid w:val="49392256"/>
    <w:rsid w:val="494FDE95"/>
    <w:rsid w:val="4975BEFA"/>
    <w:rsid w:val="49A0C6C8"/>
    <w:rsid w:val="4A700CE9"/>
    <w:rsid w:val="4A7C4885"/>
    <w:rsid w:val="4ABC4502"/>
    <w:rsid w:val="4B035BB8"/>
    <w:rsid w:val="4B197711"/>
    <w:rsid w:val="4B979892"/>
    <w:rsid w:val="4C11ADF8"/>
    <w:rsid w:val="4C288F5A"/>
    <w:rsid w:val="4C3CA74E"/>
    <w:rsid w:val="4CA820A8"/>
    <w:rsid w:val="4CC7C792"/>
    <w:rsid w:val="4CF2E432"/>
    <w:rsid w:val="4DE48191"/>
    <w:rsid w:val="4DEA1E25"/>
    <w:rsid w:val="4DEFF524"/>
    <w:rsid w:val="4DFE5E3F"/>
    <w:rsid w:val="4E02556E"/>
    <w:rsid w:val="4E7E3F05"/>
    <w:rsid w:val="4E909C01"/>
    <w:rsid w:val="4ECBA012"/>
    <w:rsid w:val="4F33FD3A"/>
    <w:rsid w:val="4F6DDEFD"/>
    <w:rsid w:val="4F7603D2"/>
    <w:rsid w:val="4FBD0742"/>
    <w:rsid w:val="4FC76358"/>
    <w:rsid w:val="50013C28"/>
    <w:rsid w:val="50322C4C"/>
    <w:rsid w:val="5039F892"/>
    <w:rsid w:val="5059DE09"/>
    <w:rsid w:val="50952BD1"/>
    <w:rsid w:val="50AF92C8"/>
    <w:rsid w:val="50BBA94E"/>
    <w:rsid w:val="50CB587B"/>
    <w:rsid w:val="5100BD0E"/>
    <w:rsid w:val="51050B5E"/>
    <w:rsid w:val="5127E078"/>
    <w:rsid w:val="517AA64A"/>
    <w:rsid w:val="51A0141F"/>
    <w:rsid w:val="51BE2A52"/>
    <w:rsid w:val="51C03BA4"/>
    <w:rsid w:val="51DD4E81"/>
    <w:rsid w:val="52049890"/>
    <w:rsid w:val="52209FE0"/>
    <w:rsid w:val="5225F499"/>
    <w:rsid w:val="522CB5B3"/>
    <w:rsid w:val="52579D38"/>
    <w:rsid w:val="527E2AD2"/>
    <w:rsid w:val="5287EBBA"/>
    <w:rsid w:val="528A1118"/>
    <w:rsid w:val="529C3FA7"/>
    <w:rsid w:val="52BF646D"/>
    <w:rsid w:val="5309F766"/>
    <w:rsid w:val="535B5413"/>
    <w:rsid w:val="537F9A20"/>
    <w:rsid w:val="53D0D486"/>
    <w:rsid w:val="5450034F"/>
    <w:rsid w:val="54998656"/>
    <w:rsid w:val="54B36753"/>
    <w:rsid w:val="54F0650A"/>
    <w:rsid w:val="557E3B24"/>
    <w:rsid w:val="5612CD04"/>
    <w:rsid w:val="5678C8D0"/>
    <w:rsid w:val="5688E62D"/>
    <w:rsid w:val="56F3BD4E"/>
    <w:rsid w:val="5723B7F6"/>
    <w:rsid w:val="572B262F"/>
    <w:rsid w:val="572F8D55"/>
    <w:rsid w:val="5732AF61"/>
    <w:rsid w:val="573549B6"/>
    <w:rsid w:val="573D670B"/>
    <w:rsid w:val="5742B5E1"/>
    <w:rsid w:val="5789610B"/>
    <w:rsid w:val="5792BF10"/>
    <w:rsid w:val="580A4C2B"/>
    <w:rsid w:val="58262D88"/>
    <w:rsid w:val="584A8895"/>
    <w:rsid w:val="58689E4A"/>
    <w:rsid w:val="5871524B"/>
    <w:rsid w:val="58B59CD7"/>
    <w:rsid w:val="59484849"/>
    <w:rsid w:val="59889B7F"/>
    <w:rsid w:val="598B1927"/>
    <w:rsid w:val="59E158EF"/>
    <w:rsid w:val="59F69FE5"/>
    <w:rsid w:val="5A401EB5"/>
    <w:rsid w:val="5A447426"/>
    <w:rsid w:val="5A5A304F"/>
    <w:rsid w:val="5AC1D42C"/>
    <w:rsid w:val="5B354774"/>
    <w:rsid w:val="5B3C1996"/>
    <w:rsid w:val="5BA1A8F9"/>
    <w:rsid w:val="5BC87AC6"/>
    <w:rsid w:val="5BCD9B3B"/>
    <w:rsid w:val="5C022873"/>
    <w:rsid w:val="5C08F625"/>
    <w:rsid w:val="5C292C45"/>
    <w:rsid w:val="5C6C365F"/>
    <w:rsid w:val="5CD1DB35"/>
    <w:rsid w:val="5D1D3376"/>
    <w:rsid w:val="5D364D87"/>
    <w:rsid w:val="5D91B1B3"/>
    <w:rsid w:val="5D9C26BC"/>
    <w:rsid w:val="5DA5A41E"/>
    <w:rsid w:val="5DD096A8"/>
    <w:rsid w:val="5DEA3BF2"/>
    <w:rsid w:val="5E23D159"/>
    <w:rsid w:val="5E33E2CC"/>
    <w:rsid w:val="5E6E0349"/>
    <w:rsid w:val="5EBEE47C"/>
    <w:rsid w:val="5F001425"/>
    <w:rsid w:val="5F5E8B67"/>
    <w:rsid w:val="5F9F088D"/>
    <w:rsid w:val="605DE127"/>
    <w:rsid w:val="60610B63"/>
    <w:rsid w:val="6095DD33"/>
    <w:rsid w:val="611091AF"/>
    <w:rsid w:val="614A1AC0"/>
    <w:rsid w:val="61D9E482"/>
    <w:rsid w:val="623F4AE8"/>
    <w:rsid w:val="6243C578"/>
    <w:rsid w:val="62B50F6C"/>
    <w:rsid w:val="62EECFD3"/>
    <w:rsid w:val="63034786"/>
    <w:rsid w:val="632A50FE"/>
    <w:rsid w:val="63370B0E"/>
    <w:rsid w:val="6339FF6E"/>
    <w:rsid w:val="63A27E5E"/>
    <w:rsid w:val="63AF310C"/>
    <w:rsid w:val="63BB9049"/>
    <w:rsid w:val="63C981D5"/>
    <w:rsid w:val="63F2ED69"/>
    <w:rsid w:val="6438054D"/>
    <w:rsid w:val="645D16CA"/>
    <w:rsid w:val="6463FEA9"/>
    <w:rsid w:val="647A6948"/>
    <w:rsid w:val="649731A0"/>
    <w:rsid w:val="649AB056"/>
    <w:rsid w:val="64FE6B5E"/>
    <w:rsid w:val="6501970F"/>
    <w:rsid w:val="650F1C7A"/>
    <w:rsid w:val="660E87B2"/>
    <w:rsid w:val="66512400"/>
    <w:rsid w:val="666E5E12"/>
    <w:rsid w:val="66A913AA"/>
    <w:rsid w:val="66CEDCF7"/>
    <w:rsid w:val="66DCB2E3"/>
    <w:rsid w:val="67272714"/>
    <w:rsid w:val="672A4366"/>
    <w:rsid w:val="676AF8E1"/>
    <w:rsid w:val="6770A63A"/>
    <w:rsid w:val="6772D174"/>
    <w:rsid w:val="67797367"/>
    <w:rsid w:val="67861DD7"/>
    <w:rsid w:val="67A63411"/>
    <w:rsid w:val="67A9A33E"/>
    <w:rsid w:val="67BC2D2E"/>
    <w:rsid w:val="67E930AD"/>
    <w:rsid w:val="6843B168"/>
    <w:rsid w:val="6844ED04"/>
    <w:rsid w:val="688F1C95"/>
    <w:rsid w:val="68AE4961"/>
    <w:rsid w:val="68F4FC8F"/>
    <w:rsid w:val="68FE751A"/>
    <w:rsid w:val="68FFB585"/>
    <w:rsid w:val="6922E6EA"/>
    <w:rsid w:val="69284908"/>
    <w:rsid w:val="69B618EA"/>
    <w:rsid w:val="69F5241C"/>
    <w:rsid w:val="6A01380B"/>
    <w:rsid w:val="6A261C41"/>
    <w:rsid w:val="6A3802E4"/>
    <w:rsid w:val="6A3BC046"/>
    <w:rsid w:val="6A59ED87"/>
    <w:rsid w:val="6A75B447"/>
    <w:rsid w:val="6ABCC204"/>
    <w:rsid w:val="6AF31E13"/>
    <w:rsid w:val="6B2878B0"/>
    <w:rsid w:val="6B2EBDD3"/>
    <w:rsid w:val="6B91DDD7"/>
    <w:rsid w:val="6B99BC39"/>
    <w:rsid w:val="6BCD5910"/>
    <w:rsid w:val="6BDB6DCB"/>
    <w:rsid w:val="6C5F765D"/>
    <w:rsid w:val="6C8F40F1"/>
    <w:rsid w:val="6C9CE80C"/>
    <w:rsid w:val="6CBE3397"/>
    <w:rsid w:val="6D0CC03D"/>
    <w:rsid w:val="6D6E3928"/>
    <w:rsid w:val="6D81E585"/>
    <w:rsid w:val="6D926FC4"/>
    <w:rsid w:val="6E25A2A2"/>
    <w:rsid w:val="6E2C3EAC"/>
    <w:rsid w:val="6E5A8C53"/>
    <w:rsid w:val="6E5F1509"/>
    <w:rsid w:val="6E6D58BE"/>
    <w:rsid w:val="6E6FFCAB"/>
    <w:rsid w:val="6E8498FF"/>
    <w:rsid w:val="6EEC371E"/>
    <w:rsid w:val="6EEDB189"/>
    <w:rsid w:val="6F7FE074"/>
    <w:rsid w:val="6FACA44F"/>
    <w:rsid w:val="7058A83D"/>
    <w:rsid w:val="70B0AB74"/>
    <w:rsid w:val="71D51449"/>
    <w:rsid w:val="71DC5694"/>
    <w:rsid w:val="721E41BC"/>
    <w:rsid w:val="7231F69D"/>
    <w:rsid w:val="72366012"/>
    <w:rsid w:val="72540B11"/>
    <w:rsid w:val="725FFC8F"/>
    <w:rsid w:val="7281FBA9"/>
    <w:rsid w:val="7295D54B"/>
    <w:rsid w:val="729C608D"/>
    <w:rsid w:val="72E24241"/>
    <w:rsid w:val="72F8E8A7"/>
    <w:rsid w:val="72FBE7CE"/>
    <w:rsid w:val="72FF3629"/>
    <w:rsid w:val="73811C4D"/>
    <w:rsid w:val="7381B85A"/>
    <w:rsid w:val="73EA39A1"/>
    <w:rsid w:val="743B421B"/>
    <w:rsid w:val="7473F769"/>
    <w:rsid w:val="7576A156"/>
    <w:rsid w:val="7578FA8D"/>
    <w:rsid w:val="75C3E90C"/>
    <w:rsid w:val="75E0AB97"/>
    <w:rsid w:val="75E6097E"/>
    <w:rsid w:val="76672D9F"/>
    <w:rsid w:val="768C862D"/>
    <w:rsid w:val="76C7B376"/>
    <w:rsid w:val="76F39DFA"/>
    <w:rsid w:val="770281B4"/>
    <w:rsid w:val="77212A63"/>
    <w:rsid w:val="77334767"/>
    <w:rsid w:val="776F4C93"/>
    <w:rsid w:val="777DD3D4"/>
    <w:rsid w:val="779A9704"/>
    <w:rsid w:val="77AA951F"/>
    <w:rsid w:val="77C7D063"/>
    <w:rsid w:val="77D4B5BD"/>
    <w:rsid w:val="7803535A"/>
    <w:rsid w:val="780B2828"/>
    <w:rsid w:val="784E527B"/>
    <w:rsid w:val="7865F32D"/>
    <w:rsid w:val="7877BFBF"/>
    <w:rsid w:val="787C1A3B"/>
    <w:rsid w:val="788BA377"/>
    <w:rsid w:val="7891DD68"/>
    <w:rsid w:val="78BDB7B8"/>
    <w:rsid w:val="78D4E26F"/>
    <w:rsid w:val="7939B897"/>
    <w:rsid w:val="797EB759"/>
    <w:rsid w:val="79AA6DDE"/>
    <w:rsid w:val="79BC872F"/>
    <w:rsid w:val="79DBCA23"/>
    <w:rsid w:val="79E256A7"/>
    <w:rsid w:val="79E27032"/>
    <w:rsid w:val="7A2B68C2"/>
    <w:rsid w:val="7A376C5D"/>
    <w:rsid w:val="7A589245"/>
    <w:rsid w:val="7AA60D33"/>
    <w:rsid w:val="7AA765B4"/>
    <w:rsid w:val="7ADCEDA0"/>
    <w:rsid w:val="7AF8A7ED"/>
    <w:rsid w:val="7B284756"/>
    <w:rsid w:val="7B408EA0"/>
    <w:rsid w:val="7B5A2E61"/>
    <w:rsid w:val="7B755725"/>
    <w:rsid w:val="7B9CEF24"/>
    <w:rsid w:val="7BA627DD"/>
    <w:rsid w:val="7BBEFEB1"/>
    <w:rsid w:val="7BCFEA21"/>
    <w:rsid w:val="7BEBA18D"/>
    <w:rsid w:val="7C4413DC"/>
    <w:rsid w:val="7C954D0C"/>
    <w:rsid w:val="7CA08AA5"/>
    <w:rsid w:val="7CCE8ABB"/>
    <w:rsid w:val="7CCE9EB7"/>
    <w:rsid w:val="7D73C1E1"/>
    <w:rsid w:val="7DDB1B3A"/>
    <w:rsid w:val="7E0962C5"/>
    <w:rsid w:val="7E3A4C42"/>
    <w:rsid w:val="7E467F8C"/>
    <w:rsid w:val="7EE08FB3"/>
    <w:rsid w:val="7EE96868"/>
    <w:rsid w:val="7EF38CEA"/>
    <w:rsid w:val="7EF42E5F"/>
    <w:rsid w:val="7FABBE14"/>
    <w:rsid w:val="7FE8ED1A"/>
    <w:rsid w:val="7FF1A6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AB951"/>
  <w15:chartTrackingRefBased/>
  <w15:docId w15:val="{0D00853B-A2D2-4C94-945C-3DF52AF0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C65"/>
    <w:pPr>
      <w:spacing w:before="120"/>
    </w:pPr>
    <w:rPr>
      <w:rFonts w:ascii="Aptos" w:hAnsi="Aptos"/>
    </w:rPr>
  </w:style>
  <w:style w:type="paragraph" w:styleId="Heading1">
    <w:name w:val="heading 1"/>
    <w:basedOn w:val="Normal"/>
    <w:link w:val="Heading1Char"/>
    <w:uiPriority w:val="9"/>
    <w:qFormat/>
    <w:rsid w:val="002223E9"/>
    <w:pPr>
      <w:widowControl w:val="0"/>
      <w:numPr>
        <w:numId w:val="124"/>
      </w:numPr>
      <w:autoSpaceDE w:val="0"/>
      <w:autoSpaceDN w:val="0"/>
      <w:spacing w:before="160" w:after="120" w:line="240" w:lineRule="auto"/>
      <w:outlineLvl w:val="0"/>
    </w:pPr>
    <w:rPr>
      <w:rFonts w:ascii="Aptos Display" w:eastAsia="Times New Roman" w:hAnsi="Aptos Display" w:cs="Times New Roman"/>
      <w:b/>
      <w:bCs/>
      <w:color w:val="3B3838" w:themeColor="background2" w:themeShade="40"/>
      <w:sz w:val="36"/>
      <w:szCs w:val="28"/>
      <w:lang w:bidi="en-US"/>
    </w:rPr>
  </w:style>
  <w:style w:type="paragraph" w:styleId="Heading2">
    <w:name w:val="heading 2"/>
    <w:basedOn w:val="Normal"/>
    <w:link w:val="Heading2Char"/>
    <w:uiPriority w:val="9"/>
    <w:unhideWhenUsed/>
    <w:qFormat/>
    <w:rsid w:val="00952E49"/>
    <w:pPr>
      <w:widowControl w:val="0"/>
      <w:autoSpaceDE w:val="0"/>
      <w:autoSpaceDN w:val="0"/>
      <w:spacing w:before="160" w:line="240" w:lineRule="auto"/>
      <w:ind w:left="864" w:hanging="720"/>
      <w:outlineLvl w:val="1"/>
    </w:pPr>
    <w:rPr>
      <w:rFonts w:eastAsia="Times New Roman" w:cs="Times New Roman"/>
      <w:b/>
      <w:bCs/>
      <w:color w:val="0070C0"/>
      <w:sz w:val="32"/>
      <w:szCs w:val="24"/>
      <w:lang w:bidi="en-US"/>
    </w:rPr>
  </w:style>
  <w:style w:type="paragraph" w:styleId="Heading3">
    <w:name w:val="heading 3"/>
    <w:aliases w:val="Heading 3.b"/>
    <w:basedOn w:val="Normal"/>
    <w:next w:val="Normal"/>
    <w:link w:val="Heading3Char"/>
    <w:uiPriority w:val="9"/>
    <w:unhideWhenUsed/>
    <w:qFormat/>
    <w:rsid w:val="004D217A"/>
    <w:pPr>
      <w:keepNext/>
      <w:keepLines/>
      <w:numPr>
        <w:numId w:val="126"/>
      </w:numPr>
      <w:spacing w:before="160"/>
      <w:outlineLvl w:val="2"/>
    </w:pPr>
    <w:rPr>
      <w:rFonts w:eastAsia="Times New Roman" w:cs="Times New Roman"/>
      <w:color w:val="000000"/>
      <w:szCs w:val="24"/>
      <w:lang w:bidi="en-US"/>
    </w:rPr>
  </w:style>
  <w:style w:type="paragraph" w:styleId="Heading4">
    <w:name w:val="heading 4"/>
    <w:basedOn w:val="Normal"/>
    <w:next w:val="Normal"/>
    <w:link w:val="Heading4Char"/>
    <w:uiPriority w:val="9"/>
    <w:unhideWhenUsed/>
    <w:qFormat/>
    <w:rsid w:val="005A5504"/>
    <w:pPr>
      <w:keepNext/>
      <w:widowControl w:val="0"/>
      <w:tabs>
        <w:tab w:val="left" w:pos="875"/>
        <w:tab w:val="left" w:pos="876"/>
      </w:tabs>
      <w:autoSpaceDE w:val="0"/>
      <w:autoSpaceDN w:val="0"/>
      <w:spacing w:after="120" w:line="240" w:lineRule="auto"/>
      <w:ind w:left="1440"/>
      <w:outlineLvl w:val="3"/>
    </w:pPr>
    <w:rPr>
      <w:rFonts w:eastAsia="Times New Roman" w:cs="Times New Roman"/>
      <w:lang w:bidi="en-US"/>
    </w:rPr>
  </w:style>
  <w:style w:type="paragraph" w:styleId="Heading5">
    <w:name w:val="heading 5"/>
    <w:basedOn w:val="Normal"/>
    <w:next w:val="Normal"/>
    <w:link w:val="Heading5Char"/>
    <w:uiPriority w:val="9"/>
    <w:unhideWhenUsed/>
    <w:qFormat/>
    <w:rsid w:val="005C0ED2"/>
    <w:pPr>
      <w:keepNext/>
      <w:jc w:val="center"/>
      <w:outlineLvl w:val="4"/>
    </w:pPr>
    <w:rPr>
      <w:b/>
    </w:rPr>
  </w:style>
  <w:style w:type="paragraph" w:styleId="Heading6">
    <w:name w:val="heading 6"/>
    <w:next w:val="Normal"/>
    <w:link w:val="Heading6Char"/>
    <w:uiPriority w:val="9"/>
    <w:unhideWhenUsed/>
    <w:qFormat/>
    <w:rsid w:val="005D0B48"/>
    <w:pPr>
      <w:keepNext/>
      <w:keepLines/>
      <w:spacing w:before="40" w:after="120"/>
      <w:outlineLvl w:val="5"/>
    </w:pPr>
    <w:rPr>
      <w:rFonts w:ascii="Aptos" w:eastAsiaTheme="majorEastAsia" w:hAnsi="Aptos"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MID List Paragraph1"/>
    <w:basedOn w:val="Normal"/>
    <w:uiPriority w:val="1"/>
    <w:qFormat/>
    <w:rsid w:val="00AE0C0B"/>
    <w:pPr>
      <w:spacing w:after="280"/>
      <w:contextualSpacing/>
    </w:pPr>
    <w:rPr>
      <w:color w:val="000000" w:themeColor="text1"/>
    </w:rPr>
  </w:style>
  <w:style w:type="paragraph" w:styleId="BalloonText">
    <w:name w:val="Balloon Text"/>
    <w:basedOn w:val="Normal"/>
    <w:link w:val="BalloonTextChar"/>
    <w:uiPriority w:val="99"/>
    <w:semiHidden/>
    <w:unhideWhenUsed/>
    <w:rsid w:val="00DC13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328"/>
    <w:rPr>
      <w:rFonts w:ascii="Segoe UI" w:hAnsi="Segoe UI" w:cs="Segoe UI"/>
      <w:sz w:val="18"/>
      <w:szCs w:val="18"/>
    </w:rPr>
  </w:style>
  <w:style w:type="character" w:customStyle="1" w:styleId="Heading1Char">
    <w:name w:val="Heading 1 Char"/>
    <w:basedOn w:val="DefaultParagraphFont"/>
    <w:link w:val="Heading1"/>
    <w:uiPriority w:val="9"/>
    <w:rsid w:val="002223E9"/>
    <w:rPr>
      <w:rFonts w:ascii="Aptos Display" w:eastAsia="Times New Roman" w:hAnsi="Aptos Display" w:cs="Times New Roman"/>
      <w:b/>
      <w:bCs/>
      <w:color w:val="3B3838" w:themeColor="background2" w:themeShade="40"/>
      <w:sz w:val="36"/>
      <w:szCs w:val="28"/>
      <w:lang w:bidi="en-US"/>
    </w:rPr>
  </w:style>
  <w:style w:type="character" w:customStyle="1" w:styleId="Heading2Char">
    <w:name w:val="Heading 2 Char"/>
    <w:basedOn w:val="DefaultParagraphFont"/>
    <w:link w:val="Heading2"/>
    <w:uiPriority w:val="9"/>
    <w:rsid w:val="00952E49"/>
    <w:rPr>
      <w:rFonts w:ascii="Aptos" w:eastAsia="Times New Roman" w:hAnsi="Aptos" w:cs="Times New Roman"/>
      <w:b/>
      <w:bCs/>
      <w:color w:val="0070C0"/>
      <w:sz w:val="32"/>
      <w:szCs w:val="24"/>
      <w:lang w:bidi="en-US"/>
    </w:rPr>
  </w:style>
  <w:style w:type="paragraph" w:customStyle="1" w:styleId="Heading31">
    <w:name w:val="Heading 31"/>
    <w:basedOn w:val="Normal"/>
    <w:next w:val="Normal"/>
    <w:uiPriority w:val="9"/>
    <w:unhideWhenUsed/>
    <w:qFormat/>
    <w:rsid w:val="00FF3B71"/>
    <w:pPr>
      <w:keepNext/>
      <w:keepLines/>
      <w:widowControl w:val="0"/>
      <w:autoSpaceDE w:val="0"/>
      <w:autoSpaceDN w:val="0"/>
      <w:spacing w:before="40" w:after="0" w:line="240" w:lineRule="auto"/>
      <w:outlineLvl w:val="2"/>
    </w:pPr>
    <w:rPr>
      <w:rFonts w:eastAsia="Times New Roman" w:cs="Times New Roman"/>
      <w:color w:val="000000"/>
      <w:szCs w:val="24"/>
      <w:lang w:bidi="en-US"/>
    </w:rPr>
  </w:style>
  <w:style w:type="character" w:customStyle="1" w:styleId="Heading4Char">
    <w:name w:val="Heading 4 Char"/>
    <w:basedOn w:val="DefaultParagraphFont"/>
    <w:link w:val="Heading4"/>
    <w:uiPriority w:val="9"/>
    <w:rsid w:val="005A5504"/>
    <w:rPr>
      <w:rFonts w:ascii="Times New Roman" w:eastAsia="Times New Roman" w:hAnsi="Times New Roman" w:cs="Times New Roman"/>
      <w:sz w:val="24"/>
      <w:lang w:bidi="en-US"/>
    </w:rPr>
  </w:style>
  <w:style w:type="numbering" w:customStyle="1" w:styleId="NoList1">
    <w:name w:val="No List1"/>
    <w:next w:val="NoList"/>
    <w:uiPriority w:val="99"/>
    <w:semiHidden/>
    <w:unhideWhenUsed/>
    <w:rsid w:val="00FF3B71"/>
  </w:style>
  <w:style w:type="paragraph" w:styleId="TOC1">
    <w:name w:val="toc 1"/>
    <w:basedOn w:val="Normal"/>
    <w:uiPriority w:val="39"/>
    <w:qFormat/>
    <w:rsid w:val="00FF3B71"/>
    <w:pPr>
      <w:widowControl w:val="0"/>
      <w:autoSpaceDE w:val="0"/>
      <w:autoSpaceDN w:val="0"/>
      <w:spacing w:after="0" w:line="240" w:lineRule="auto"/>
      <w:ind w:left="516" w:hanging="360"/>
    </w:pPr>
    <w:rPr>
      <w:rFonts w:eastAsia="Times New Roman" w:cs="Times New Roman"/>
      <w:szCs w:val="24"/>
      <w:lang w:bidi="en-US"/>
    </w:rPr>
  </w:style>
  <w:style w:type="paragraph" w:styleId="TOC2">
    <w:name w:val="toc 2"/>
    <w:basedOn w:val="Normal"/>
    <w:uiPriority w:val="39"/>
    <w:qFormat/>
    <w:rsid w:val="00FF3B71"/>
    <w:pPr>
      <w:widowControl w:val="0"/>
      <w:autoSpaceDE w:val="0"/>
      <w:autoSpaceDN w:val="0"/>
      <w:spacing w:after="0" w:line="240" w:lineRule="auto"/>
      <w:ind w:left="1036" w:hanging="520"/>
    </w:pPr>
    <w:rPr>
      <w:rFonts w:eastAsia="Times New Roman" w:cs="Times New Roman"/>
      <w:szCs w:val="24"/>
      <w:lang w:bidi="en-US"/>
    </w:rPr>
  </w:style>
  <w:style w:type="paragraph" w:styleId="TOC3">
    <w:name w:val="toc 3"/>
    <w:basedOn w:val="Normal"/>
    <w:uiPriority w:val="39"/>
    <w:qFormat/>
    <w:rsid w:val="00FF3B71"/>
    <w:pPr>
      <w:widowControl w:val="0"/>
      <w:autoSpaceDE w:val="0"/>
      <w:autoSpaceDN w:val="0"/>
      <w:spacing w:after="0" w:line="240" w:lineRule="auto"/>
      <w:ind w:left="1596" w:hanging="540"/>
    </w:pPr>
    <w:rPr>
      <w:rFonts w:eastAsia="Times New Roman" w:cs="Times New Roman"/>
      <w:szCs w:val="24"/>
      <w:lang w:bidi="en-US"/>
    </w:rPr>
  </w:style>
  <w:style w:type="paragraph" w:styleId="BodyText">
    <w:name w:val="Body Text"/>
    <w:basedOn w:val="Normal"/>
    <w:link w:val="BodyTextChar"/>
    <w:uiPriority w:val="1"/>
    <w:qFormat/>
    <w:rsid w:val="0051654F"/>
    <w:pPr>
      <w:widowControl w:val="0"/>
      <w:autoSpaceDE w:val="0"/>
      <w:autoSpaceDN w:val="0"/>
      <w:spacing w:after="120" w:line="240" w:lineRule="auto"/>
    </w:pPr>
    <w:rPr>
      <w:rFonts w:eastAsia="Times New Roman" w:cs="Times New Roman"/>
      <w:szCs w:val="24"/>
      <w:lang w:bidi="en-US"/>
    </w:rPr>
  </w:style>
  <w:style w:type="character" w:customStyle="1" w:styleId="BodyTextChar">
    <w:name w:val="Body Text Char"/>
    <w:basedOn w:val="DefaultParagraphFont"/>
    <w:link w:val="BodyText"/>
    <w:uiPriority w:val="1"/>
    <w:rsid w:val="0051654F"/>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FF3B71"/>
    <w:pPr>
      <w:widowControl w:val="0"/>
      <w:autoSpaceDE w:val="0"/>
      <w:autoSpaceDN w:val="0"/>
      <w:spacing w:before="63" w:after="0" w:line="240" w:lineRule="auto"/>
      <w:ind w:left="50"/>
    </w:pPr>
    <w:rPr>
      <w:rFonts w:eastAsia="Times New Roman" w:cs="Times New Roman"/>
      <w:lang w:bidi="en-US"/>
    </w:rPr>
  </w:style>
  <w:style w:type="paragraph" w:styleId="Header">
    <w:name w:val="header"/>
    <w:basedOn w:val="Normal"/>
    <w:link w:val="HeaderChar"/>
    <w:uiPriority w:val="99"/>
    <w:unhideWhenUsed/>
    <w:rsid w:val="00FF3B71"/>
    <w:pPr>
      <w:widowControl w:val="0"/>
      <w:tabs>
        <w:tab w:val="center" w:pos="4680"/>
        <w:tab w:val="right" w:pos="9360"/>
      </w:tabs>
      <w:autoSpaceDE w:val="0"/>
      <w:autoSpaceDN w:val="0"/>
      <w:spacing w:after="0" w:line="240" w:lineRule="auto"/>
    </w:pPr>
    <w:rPr>
      <w:rFonts w:eastAsia="Times New Roman" w:cs="Times New Roman"/>
      <w:lang w:bidi="en-US"/>
    </w:rPr>
  </w:style>
  <w:style w:type="character" w:customStyle="1" w:styleId="HeaderChar">
    <w:name w:val="Header Char"/>
    <w:basedOn w:val="DefaultParagraphFont"/>
    <w:link w:val="Header"/>
    <w:uiPriority w:val="99"/>
    <w:rsid w:val="00FF3B71"/>
    <w:rPr>
      <w:rFonts w:ascii="Times New Roman" w:eastAsia="Times New Roman" w:hAnsi="Times New Roman" w:cs="Times New Roman"/>
      <w:lang w:bidi="en-US"/>
    </w:rPr>
  </w:style>
  <w:style w:type="paragraph" w:styleId="Footer">
    <w:name w:val="footer"/>
    <w:basedOn w:val="Normal"/>
    <w:link w:val="FooterChar"/>
    <w:uiPriority w:val="99"/>
    <w:unhideWhenUsed/>
    <w:rsid w:val="00FF3B71"/>
    <w:pPr>
      <w:widowControl w:val="0"/>
      <w:tabs>
        <w:tab w:val="center" w:pos="4680"/>
        <w:tab w:val="right" w:pos="9360"/>
      </w:tabs>
      <w:autoSpaceDE w:val="0"/>
      <w:autoSpaceDN w:val="0"/>
      <w:spacing w:after="0" w:line="240" w:lineRule="auto"/>
    </w:pPr>
    <w:rPr>
      <w:rFonts w:eastAsia="Times New Roman" w:cs="Times New Roman"/>
      <w:lang w:bidi="en-US"/>
    </w:rPr>
  </w:style>
  <w:style w:type="character" w:customStyle="1" w:styleId="FooterChar">
    <w:name w:val="Footer Char"/>
    <w:basedOn w:val="DefaultParagraphFont"/>
    <w:link w:val="Footer"/>
    <w:uiPriority w:val="99"/>
    <w:rsid w:val="00FF3B71"/>
    <w:rPr>
      <w:rFonts w:ascii="Times New Roman" w:eastAsia="Times New Roman" w:hAnsi="Times New Roman" w:cs="Times New Roman"/>
      <w:lang w:bidi="en-US"/>
    </w:rPr>
  </w:style>
  <w:style w:type="character" w:customStyle="1" w:styleId="Heading3Char">
    <w:name w:val="Heading 3 Char"/>
    <w:aliases w:val="Heading 3.b Char"/>
    <w:basedOn w:val="DefaultParagraphFont"/>
    <w:link w:val="Heading3"/>
    <w:uiPriority w:val="9"/>
    <w:rsid w:val="004D217A"/>
    <w:rPr>
      <w:rFonts w:ascii="Aptos" w:eastAsia="Times New Roman" w:hAnsi="Aptos" w:cs="Times New Roman"/>
      <w:color w:val="000000"/>
      <w:szCs w:val="24"/>
      <w:lang w:bidi="en-US"/>
    </w:rPr>
  </w:style>
  <w:style w:type="character" w:customStyle="1" w:styleId="Hyperlink1">
    <w:name w:val="Hyperlink1"/>
    <w:basedOn w:val="DefaultParagraphFont"/>
    <w:uiPriority w:val="99"/>
    <w:unhideWhenUsed/>
    <w:rsid w:val="00FF3B71"/>
    <w:rPr>
      <w:color w:val="0000FF"/>
      <w:u w:val="single"/>
    </w:rPr>
  </w:style>
  <w:style w:type="character" w:customStyle="1" w:styleId="UnresolvedMention1">
    <w:name w:val="Unresolved Mention1"/>
    <w:basedOn w:val="DefaultParagraphFont"/>
    <w:uiPriority w:val="99"/>
    <w:semiHidden/>
    <w:unhideWhenUsed/>
    <w:rsid w:val="00FF3B71"/>
    <w:rPr>
      <w:color w:val="605E5C"/>
      <w:shd w:val="clear" w:color="auto" w:fill="E1DFDD"/>
    </w:rPr>
  </w:style>
  <w:style w:type="paragraph" w:customStyle="1" w:styleId="TOCHeading1">
    <w:name w:val="TOC Heading1"/>
    <w:basedOn w:val="Heading1"/>
    <w:next w:val="Normal"/>
    <w:uiPriority w:val="39"/>
    <w:unhideWhenUsed/>
    <w:qFormat/>
    <w:rsid w:val="00FF3B71"/>
    <w:pPr>
      <w:keepNext/>
      <w:keepLines/>
      <w:widowControl/>
      <w:autoSpaceDE/>
      <w:autoSpaceDN/>
      <w:spacing w:before="240" w:line="259" w:lineRule="auto"/>
      <w:outlineLvl w:val="9"/>
    </w:pPr>
    <w:rPr>
      <w:rFonts w:ascii="Cambria" w:hAnsi="Cambria"/>
      <w:b w:val="0"/>
      <w:bCs w:val="0"/>
      <w:color w:val="365F91"/>
      <w:sz w:val="32"/>
      <w:szCs w:val="32"/>
      <w:lang w:bidi="ar-SA"/>
    </w:rPr>
  </w:style>
  <w:style w:type="table" w:styleId="TableGrid">
    <w:name w:val="Table Grid"/>
    <w:basedOn w:val="TableNormal"/>
    <w:uiPriority w:val="39"/>
    <w:rsid w:val="00FF3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qFormat/>
    <w:rsid w:val="00FF3B71"/>
    <w:pPr>
      <w:widowControl/>
      <w:autoSpaceDE/>
      <w:autoSpaceDN/>
      <w:spacing w:before="60" w:after="60"/>
    </w:pPr>
    <w:rPr>
      <w:rFonts w:eastAsia="Calibri"/>
      <w:szCs w:val="22"/>
      <w:lang w:bidi="ar-SA"/>
    </w:rPr>
  </w:style>
  <w:style w:type="paragraph" w:customStyle="1" w:styleId="Caption1">
    <w:name w:val="Caption1"/>
    <w:basedOn w:val="Normal"/>
    <w:next w:val="Normal"/>
    <w:uiPriority w:val="35"/>
    <w:unhideWhenUsed/>
    <w:qFormat/>
    <w:rsid w:val="00FF3B71"/>
    <w:pPr>
      <w:spacing w:after="200" w:line="240" w:lineRule="auto"/>
    </w:pPr>
    <w:rPr>
      <w:b/>
      <w:iCs/>
      <w:sz w:val="28"/>
      <w:szCs w:val="18"/>
    </w:rPr>
  </w:style>
  <w:style w:type="paragraph" w:styleId="BodyText2">
    <w:name w:val="Body Text 2"/>
    <w:basedOn w:val="Normal"/>
    <w:link w:val="BodyText2Char"/>
    <w:uiPriority w:val="99"/>
    <w:semiHidden/>
    <w:unhideWhenUsed/>
    <w:rsid w:val="00FF3B71"/>
    <w:pPr>
      <w:widowControl w:val="0"/>
      <w:autoSpaceDE w:val="0"/>
      <w:autoSpaceDN w:val="0"/>
      <w:spacing w:after="120" w:line="480" w:lineRule="auto"/>
    </w:pPr>
    <w:rPr>
      <w:rFonts w:eastAsia="Times New Roman" w:cs="Times New Roman"/>
      <w:lang w:bidi="en-US"/>
    </w:rPr>
  </w:style>
  <w:style w:type="character" w:customStyle="1" w:styleId="BodyText2Char">
    <w:name w:val="Body Text 2 Char"/>
    <w:basedOn w:val="DefaultParagraphFont"/>
    <w:link w:val="BodyText2"/>
    <w:uiPriority w:val="99"/>
    <w:semiHidden/>
    <w:rsid w:val="00FF3B71"/>
    <w:rPr>
      <w:rFonts w:ascii="Times New Roman" w:eastAsia="Times New Roman" w:hAnsi="Times New Roman" w:cs="Times New Roman"/>
      <w:lang w:bidi="en-US"/>
    </w:rPr>
  </w:style>
  <w:style w:type="paragraph" w:customStyle="1" w:styleId="TableFooter">
    <w:name w:val="Table Footer"/>
    <w:basedOn w:val="BodyText2"/>
    <w:link w:val="TableFooterChar"/>
    <w:qFormat/>
    <w:rsid w:val="00954082"/>
    <w:pPr>
      <w:widowControl/>
      <w:autoSpaceDE/>
      <w:autoSpaceDN/>
      <w:spacing w:after="0" w:line="240" w:lineRule="auto"/>
    </w:pPr>
    <w:rPr>
      <w:rFonts w:eastAsia="Calibri"/>
      <w:vertAlign w:val="superscript"/>
      <w:lang w:bidi="ar-SA"/>
    </w:rPr>
  </w:style>
  <w:style w:type="paragraph" w:styleId="TableofFigures">
    <w:name w:val="table of figures"/>
    <w:basedOn w:val="Normal"/>
    <w:next w:val="Normal"/>
    <w:uiPriority w:val="99"/>
    <w:unhideWhenUsed/>
    <w:rsid w:val="00FF3B71"/>
    <w:pPr>
      <w:widowControl w:val="0"/>
      <w:autoSpaceDE w:val="0"/>
      <w:autoSpaceDN w:val="0"/>
      <w:spacing w:after="0" w:line="240" w:lineRule="auto"/>
    </w:pPr>
    <w:rPr>
      <w:rFonts w:eastAsia="Times New Roman" w:cs="Times New Roman"/>
      <w:lang w:bidi="en-US"/>
    </w:rPr>
  </w:style>
  <w:style w:type="character" w:styleId="CommentReference">
    <w:name w:val="annotation reference"/>
    <w:basedOn w:val="DefaultParagraphFont"/>
    <w:uiPriority w:val="99"/>
    <w:semiHidden/>
    <w:unhideWhenUsed/>
    <w:rsid w:val="00FF3B71"/>
    <w:rPr>
      <w:sz w:val="16"/>
      <w:szCs w:val="16"/>
    </w:rPr>
  </w:style>
  <w:style w:type="paragraph" w:styleId="CommentText">
    <w:name w:val="annotation text"/>
    <w:basedOn w:val="Normal"/>
    <w:link w:val="CommentTextChar"/>
    <w:uiPriority w:val="99"/>
    <w:unhideWhenUsed/>
    <w:rsid w:val="00FF3B71"/>
    <w:pPr>
      <w:widowControl w:val="0"/>
      <w:autoSpaceDE w:val="0"/>
      <w:autoSpaceDN w:val="0"/>
      <w:spacing w:after="0" w:line="240" w:lineRule="auto"/>
    </w:pPr>
    <w:rPr>
      <w:rFonts w:eastAsia="Times New Roman" w:cs="Times New Roman"/>
      <w:sz w:val="20"/>
      <w:szCs w:val="20"/>
      <w:lang w:bidi="en-US"/>
    </w:rPr>
  </w:style>
  <w:style w:type="character" w:customStyle="1" w:styleId="CommentTextChar">
    <w:name w:val="Comment Text Char"/>
    <w:basedOn w:val="DefaultParagraphFont"/>
    <w:link w:val="CommentText"/>
    <w:uiPriority w:val="99"/>
    <w:rsid w:val="00FF3B71"/>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FF3B71"/>
    <w:rPr>
      <w:b/>
      <w:bCs/>
    </w:rPr>
  </w:style>
  <w:style w:type="character" w:customStyle="1" w:styleId="CommentSubjectChar">
    <w:name w:val="Comment Subject Char"/>
    <w:basedOn w:val="CommentTextChar"/>
    <w:link w:val="CommentSubject"/>
    <w:uiPriority w:val="99"/>
    <w:semiHidden/>
    <w:rsid w:val="00FF3B71"/>
    <w:rPr>
      <w:rFonts w:ascii="Times New Roman" w:eastAsia="Times New Roman" w:hAnsi="Times New Roman" w:cs="Times New Roman"/>
      <w:b/>
      <w:bCs/>
      <w:sz w:val="20"/>
      <w:szCs w:val="20"/>
      <w:lang w:bidi="en-US"/>
    </w:rPr>
  </w:style>
  <w:style w:type="paragraph" w:styleId="Revision">
    <w:name w:val="Revision"/>
    <w:hidden/>
    <w:uiPriority w:val="99"/>
    <w:semiHidden/>
    <w:rsid w:val="00FF3B71"/>
    <w:pPr>
      <w:spacing w:after="0" w:line="240" w:lineRule="auto"/>
    </w:pPr>
    <w:rPr>
      <w:rFonts w:ascii="Times New Roman" w:eastAsia="Times New Roman" w:hAnsi="Times New Roman" w:cs="Times New Roman"/>
      <w:lang w:bidi="en-US"/>
    </w:rPr>
  </w:style>
  <w:style w:type="character" w:customStyle="1" w:styleId="FollowedHyperlink1">
    <w:name w:val="FollowedHyperlink1"/>
    <w:basedOn w:val="DefaultParagraphFont"/>
    <w:uiPriority w:val="99"/>
    <w:semiHidden/>
    <w:unhideWhenUsed/>
    <w:rsid w:val="00FF3B71"/>
    <w:rPr>
      <w:color w:val="800080"/>
      <w:u w:val="single"/>
    </w:rPr>
  </w:style>
  <w:style w:type="character" w:customStyle="1" w:styleId="BulletlistingChar">
    <w:name w:val="Bullet (listing) Char"/>
    <w:basedOn w:val="DefaultParagraphFont"/>
    <w:link w:val="Bulletlisting"/>
    <w:locked/>
    <w:rsid w:val="00FF3B71"/>
    <w:rPr>
      <w:rFonts w:ascii="Arial" w:hAnsi="Arial" w:cs="Arial"/>
      <w:sz w:val="24"/>
    </w:rPr>
  </w:style>
  <w:style w:type="paragraph" w:customStyle="1" w:styleId="Bulletlisting">
    <w:name w:val="Bullet (listing)"/>
    <w:basedOn w:val="Normal"/>
    <w:link w:val="BulletlistingChar"/>
    <w:rsid w:val="00FF3B71"/>
    <w:pPr>
      <w:numPr>
        <w:numId w:val="1"/>
      </w:numPr>
      <w:spacing w:after="0" w:line="276" w:lineRule="auto"/>
      <w:jc w:val="both"/>
    </w:pPr>
    <w:rPr>
      <w:rFonts w:ascii="Arial" w:hAnsi="Arial" w:cs="Arial"/>
    </w:rPr>
  </w:style>
  <w:style w:type="paragraph" w:styleId="BodyTextIndent">
    <w:name w:val="Body Text Indent"/>
    <w:basedOn w:val="Normal"/>
    <w:link w:val="BodyTextIndentChar"/>
    <w:uiPriority w:val="99"/>
    <w:unhideWhenUsed/>
    <w:rsid w:val="00FF3B71"/>
    <w:pPr>
      <w:widowControl w:val="0"/>
      <w:autoSpaceDE w:val="0"/>
      <w:autoSpaceDN w:val="0"/>
      <w:spacing w:after="0" w:line="240" w:lineRule="auto"/>
      <w:ind w:left="900"/>
    </w:pPr>
    <w:rPr>
      <w:rFonts w:eastAsia="Times New Roman" w:cs="Times New Roman"/>
      <w:lang w:bidi="en-US"/>
    </w:rPr>
  </w:style>
  <w:style w:type="character" w:customStyle="1" w:styleId="BodyTextIndentChar">
    <w:name w:val="Body Text Indent Char"/>
    <w:basedOn w:val="DefaultParagraphFont"/>
    <w:link w:val="BodyTextIndent"/>
    <w:uiPriority w:val="99"/>
    <w:rsid w:val="00FF3B71"/>
    <w:rPr>
      <w:rFonts w:ascii="Times New Roman" w:eastAsia="Times New Roman" w:hAnsi="Times New Roman" w:cs="Times New Roman"/>
      <w:lang w:bidi="en-US"/>
    </w:rPr>
  </w:style>
  <w:style w:type="character" w:customStyle="1" w:styleId="UnresolvedMention2">
    <w:name w:val="Unresolved Mention2"/>
    <w:basedOn w:val="DefaultParagraphFont"/>
    <w:uiPriority w:val="99"/>
    <w:semiHidden/>
    <w:unhideWhenUsed/>
    <w:rsid w:val="00FF3B71"/>
    <w:rPr>
      <w:color w:val="605E5C"/>
      <w:shd w:val="clear" w:color="auto" w:fill="E1DFDD"/>
    </w:rPr>
  </w:style>
  <w:style w:type="character" w:customStyle="1" w:styleId="Heading3Char1">
    <w:name w:val="Heading 3 Char1"/>
    <w:basedOn w:val="DefaultParagraphFont"/>
    <w:uiPriority w:val="9"/>
    <w:semiHidden/>
    <w:rsid w:val="00FF3B7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F3B71"/>
    <w:rPr>
      <w:color w:val="0563C1" w:themeColor="hyperlink"/>
      <w:u w:val="single"/>
    </w:rPr>
  </w:style>
  <w:style w:type="character" w:styleId="FollowedHyperlink">
    <w:name w:val="FollowedHyperlink"/>
    <w:basedOn w:val="DefaultParagraphFont"/>
    <w:uiPriority w:val="99"/>
    <w:semiHidden/>
    <w:unhideWhenUsed/>
    <w:rsid w:val="00FF3B71"/>
    <w:rPr>
      <w:color w:val="954F72" w:themeColor="followedHyperlink"/>
      <w:u w:val="single"/>
    </w:rPr>
  </w:style>
  <w:style w:type="paragraph" w:styleId="BodyTextIndent2">
    <w:name w:val="Body Text Indent 2"/>
    <w:basedOn w:val="Normal"/>
    <w:link w:val="BodyTextIndent2Char"/>
    <w:uiPriority w:val="99"/>
    <w:unhideWhenUsed/>
    <w:rsid w:val="005A5504"/>
    <w:pPr>
      <w:ind w:left="1440"/>
    </w:pPr>
  </w:style>
  <w:style w:type="character" w:customStyle="1" w:styleId="BodyTextIndent2Char">
    <w:name w:val="Body Text Indent 2 Char"/>
    <w:basedOn w:val="DefaultParagraphFont"/>
    <w:link w:val="BodyTextIndent2"/>
    <w:uiPriority w:val="99"/>
    <w:rsid w:val="005A5504"/>
    <w:rPr>
      <w:rFonts w:ascii="Times New Roman" w:hAnsi="Times New Roman"/>
      <w:sz w:val="24"/>
    </w:rPr>
  </w:style>
  <w:style w:type="paragraph" w:customStyle="1" w:styleId="ListParagraph2">
    <w:name w:val="List Paragraph2"/>
    <w:aliases w:val="DMID List Paragraph2"/>
    <w:basedOn w:val="Normal"/>
    <w:qFormat/>
    <w:rsid w:val="006D078B"/>
    <w:pPr>
      <w:numPr>
        <w:numId w:val="112"/>
      </w:numPr>
    </w:pPr>
  </w:style>
  <w:style w:type="paragraph" w:styleId="BodyTextIndent3">
    <w:name w:val="Body Text Indent 3"/>
    <w:basedOn w:val="Normal"/>
    <w:link w:val="BodyTextIndent3Char"/>
    <w:uiPriority w:val="99"/>
    <w:unhideWhenUsed/>
    <w:rsid w:val="009D1EF6"/>
    <w:pPr>
      <w:ind w:left="360"/>
    </w:pPr>
  </w:style>
  <w:style w:type="character" w:customStyle="1" w:styleId="BodyTextIndent3Char">
    <w:name w:val="Body Text Indent 3 Char"/>
    <w:basedOn w:val="DefaultParagraphFont"/>
    <w:link w:val="BodyTextIndent3"/>
    <w:uiPriority w:val="99"/>
    <w:rsid w:val="009D1EF6"/>
    <w:rPr>
      <w:rFonts w:ascii="Times New Roman" w:hAnsi="Times New Roman"/>
      <w:sz w:val="24"/>
    </w:rPr>
  </w:style>
  <w:style w:type="paragraph" w:styleId="TOCHeading">
    <w:name w:val="TOC Heading"/>
    <w:basedOn w:val="Heading1"/>
    <w:next w:val="Normal"/>
    <w:uiPriority w:val="39"/>
    <w:unhideWhenUsed/>
    <w:qFormat/>
    <w:rsid w:val="00F83732"/>
    <w:pPr>
      <w:keepNext/>
      <w:keepLines/>
      <w:widowControl/>
      <w:autoSpaceDE/>
      <w:autoSpaceDN/>
      <w:spacing w:before="240" w:after="0" w:line="259" w:lineRule="auto"/>
      <w:outlineLvl w:val="9"/>
    </w:pPr>
    <w:rPr>
      <w:rFonts w:eastAsiaTheme="majorEastAsia" w:cstheme="majorBidi"/>
      <w:b w:val="0"/>
      <w:bCs w:val="0"/>
      <w:color w:val="03569B"/>
      <w:szCs w:val="32"/>
      <w:lang w:bidi="ar-SA"/>
    </w:rPr>
  </w:style>
  <w:style w:type="character" w:customStyle="1" w:styleId="Heading5Char">
    <w:name w:val="Heading 5 Char"/>
    <w:basedOn w:val="DefaultParagraphFont"/>
    <w:link w:val="Heading5"/>
    <w:uiPriority w:val="9"/>
    <w:rsid w:val="005C0ED2"/>
    <w:rPr>
      <w:rFonts w:ascii="Times New Roman" w:hAnsi="Times New Roman"/>
      <w:b/>
      <w:sz w:val="24"/>
    </w:rPr>
  </w:style>
  <w:style w:type="character" w:customStyle="1" w:styleId="UnresolvedMention3">
    <w:name w:val="Unresolved Mention3"/>
    <w:basedOn w:val="DefaultParagraphFont"/>
    <w:uiPriority w:val="99"/>
    <w:semiHidden/>
    <w:unhideWhenUsed/>
    <w:rsid w:val="003C7E25"/>
    <w:rPr>
      <w:color w:val="605E5C"/>
      <w:shd w:val="clear" w:color="auto" w:fill="E1DFDD"/>
    </w:rPr>
  </w:style>
  <w:style w:type="paragraph" w:styleId="TOC4">
    <w:name w:val="toc 4"/>
    <w:basedOn w:val="Normal"/>
    <w:next w:val="Normal"/>
    <w:autoRedefine/>
    <w:uiPriority w:val="39"/>
    <w:unhideWhenUsed/>
    <w:rsid w:val="003C7E25"/>
    <w:pPr>
      <w:spacing w:after="100"/>
      <w:ind w:left="660"/>
    </w:pPr>
    <w:rPr>
      <w:rFonts w:asciiTheme="minorHAnsi" w:eastAsiaTheme="minorEastAsia" w:hAnsiTheme="minorHAnsi"/>
    </w:rPr>
  </w:style>
  <w:style w:type="paragraph" w:styleId="TOC5">
    <w:name w:val="toc 5"/>
    <w:basedOn w:val="Normal"/>
    <w:next w:val="Normal"/>
    <w:autoRedefine/>
    <w:uiPriority w:val="39"/>
    <w:unhideWhenUsed/>
    <w:rsid w:val="003C7E25"/>
    <w:pPr>
      <w:spacing w:after="100"/>
      <w:ind w:left="880"/>
    </w:pPr>
    <w:rPr>
      <w:rFonts w:asciiTheme="minorHAnsi" w:eastAsiaTheme="minorEastAsia" w:hAnsiTheme="minorHAnsi"/>
    </w:rPr>
  </w:style>
  <w:style w:type="paragraph" w:styleId="TOC6">
    <w:name w:val="toc 6"/>
    <w:basedOn w:val="Normal"/>
    <w:next w:val="Normal"/>
    <w:autoRedefine/>
    <w:uiPriority w:val="39"/>
    <w:unhideWhenUsed/>
    <w:rsid w:val="003C7E25"/>
    <w:pPr>
      <w:spacing w:after="100"/>
      <w:ind w:left="1100"/>
    </w:pPr>
    <w:rPr>
      <w:rFonts w:asciiTheme="minorHAnsi" w:eastAsiaTheme="minorEastAsia" w:hAnsiTheme="minorHAnsi"/>
    </w:rPr>
  </w:style>
  <w:style w:type="paragraph" w:styleId="TOC7">
    <w:name w:val="toc 7"/>
    <w:basedOn w:val="Normal"/>
    <w:next w:val="Normal"/>
    <w:autoRedefine/>
    <w:uiPriority w:val="39"/>
    <w:unhideWhenUsed/>
    <w:rsid w:val="003C7E25"/>
    <w:pPr>
      <w:spacing w:after="100"/>
      <w:ind w:left="1320"/>
    </w:pPr>
    <w:rPr>
      <w:rFonts w:asciiTheme="minorHAnsi" w:eastAsiaTheme="minorEastAsia" w:hAnsiTheme="minorHAnsi"/>
    </w:rPr>
  </w:style>
  <w:style w:type="paragraph" w:styleId="TOC8">
    <w:name w:val="toc 8"/>
    <w:basedOn w:val="Normal"/>
    <w:next w:val="Normal"/>
    <w:autoRedefine/>
    <w:uiPriority w:val="39"/>
    <w:unhideWhenUsed/>
    <w:rsid w:val="003C7E25"/>
    <w:pPr>
      <w:spacing w:after="100"/>
      <w:ind w:left="1540"/>
    </w:pPr>
    <w:rPr>
      <w:rFonts w:asciiTheme="minorHAnsi" w:eastAsiaTheme="minorEastAsia" w:hAnsiTheme="minorHAnsi"/>
    </w:rPr>
  </w:style>
  <w:style w:type="paragraph" w:styleId="TOC9">
    <w:name w:val="toc 9"/>
    <w:basedOn w:val="Normal"/>
    <w:next w:val="Normal"/>
    <w:autoRedefine/>
    <w:uiPriority w:val="39"/>
    <w:unhideWhenUsed/>
    <w:rsid w:val="003C7E25"/>
    <w:pPr>
      <w:spacing w:after="100"/>
      <w:ind w:left="1760"/>
    </w:pPr>
    <w:rPr>
      <w:rFonts w:asciiTheme="minorHAnsi" w:eastAsiaTheme="minorEastAsia" w:hAnsiTheme="minorHAnsi"/>
    </w:rPr>
  </w:style>
  <w:style w:type="character" w:styleId="UnresolvedMention">
    <w:name w:val="Unresolved Mention"/>
    <w:basedOn w:val="DefaultParagraphFont"/>
    <w:uiPriority w:val="99"/>
    <w:semiHidden/>
    <w:unhideWhenUsed/>
    <w:rsid w:val="00277541"/>
    <w:rPr>
      <w:color w:val="605E5C"/>
      <w:shd w:val="clear" w:color="auto" w:fill="E1DFDD"/>
    </w:rPr>
  </w:style>
  <w:style w:type="paragraph" w:styleId="Caption">
    <w:name w:val="caption"/>
    <w:basedOn w:val="Normal"/>
    <w:next w:val="Normal"/>
    <w:uiPriority w:val="35"/>
    <w:unhideWhenUsed/>
    <w:qFormat/>
    <w:rsid w:val="007B2662"/>
    <w:pPr>
      <w:spacing w:after="200" w:line="240" w:lineRule="auto"/>
    </w:pPr>
    <w:rPr>
      <w:i/>
      <w:iCs/>
      <w:color w:val="44546A" w:themeColor="text2"/>
      <w:sz w:val="18"/>
      <w:szCs w:val="18"/>
    </w:rPr>
  </w:style>
  <w:style w:type="paragraph" w:styleId="NoSpacing">
    <w:name w:val="No Spacing"/>
    <w:link w:val="NoSpacingChar"/>
    <w:uiPriority w:val="1"/>
    <w:qFormat/>
    <w:rsid w:val="00E56870"/>
    <w:pPr>
      <w:spacing w:after="0" w:line="240" w:lineRule="auto"/>
    </w:pPr>
    <w:rPr>
      <w:rFonts w:eastAsiaTheme="minorEastAsia"/>
    </w:rPr>
  </w:style>
  <w:style w:type="character" w:customStyle="1" w:styleId="NoSpacingChar">
    <w:name w:val="No Spacing Char"/>
    <w:basedOn w:val="DefaultParagraphFont"/>
    <w:link w:val="NoSpacing"/>
    <w:uiPriority w:val="1"/>
    <w:rsid w:val="00E56870"/>
    <w:rPr>
      <w:rFonts w:eastAsiaTheme="minorEastAsia"/>
    </w:rPr>
  </w:style>
  <w:style w:type="paragraph" w:styleId="Title">
    <w:name w:val="Title"/>
    <w:basedOn w:val="Normal"/>
    <w:next w:val="Normal"/>
    <w:link w:val="TitleChar"/>
    <w:uiPriority w:val="10"/>
    <w:qFormat/>
    <w:rsid w:val="00E56870"/>
    <w:pPr>
      <w:spacing w:after="0" w:line="240" w:lineRule="auto"/>
      <w:contextualSpacing/>
    </w:pPr>
    <w:rPr>
      <w:rFonts w:ascii="Aptos Display" w:eastAsiaTheme="majorEastAsia" w:hAnsi="Aptos Display" w:cstheme="majorBidi"/>
      <w:color w:val="0070C0"/>
      <w:spacing w:val="-10"/>
      <w:kern w:val="28"/>
      <w:sz w:val="72"/>
      <w:szCs w:val="56"/>
    </w:rPr>
  </w:style>
  <w:style w:type="character" w:customStyle="1" w:styleId="TitleChar">
    <w:name w:val="Title Char"/>
    <w:basedOn w:val="DefaultParagraphFont"/>
    <w:link w:val="Title"/>
    <w:uiPriority w:val="10"/>
    <w:rsid w:val="00E56870"/>
    <w:rPr>
      <w:rFonts w:ascii="Aptos Display" w:eastAsiaTheme="majorEastAsia" w:hAnsi="Aptos Display" w:cstheme="majorBidi"/>
      <w:color w:val="0070C0"/>
      <w:spacing w:val="-10"/>
      <w:kern w:val="28"/>
      <w:sz w:val="72"/>
      <w:szCs w:val="56"/>
    </w:rPr>
  </w:style>
  <w:style w:type="table" w:customStyle="1" w:styleId="DMIDTableLeftColumnShaded">
    <w:name w:val="DMID Table Left Column Shaded"/>
    <w:basedOn w:val="TableNormal"/>
    <w:uiPriority w:val="99"/>
    <w:rsid w:val="00222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rFonts w:ascii="Aptos" w:hAnsi="Aptos"/>
        <w:b/>
        <w:i w:val="0"/>
        <w:color w:val="FFFFFF" w:themeColor="background1"/>
        <w:sz w:val="22"/>
      </w:rPr>
      <w:tblPr/>
      <w:tcPr>
        <w:shd w:val="clear" w:color="auto" w:fill="03569B"/>
      </w:tcPr>
    </w:tblStylePr>
  </w:style>
  <w:style w:type="paragraph" w:customStyle="1" w:styleId="Note">
    <w:name w:val="Note"/>
    <w:link w:val="NoteChar"/>
    <w:rsid w:val="005D0B48"/>
    <w:pPr>
      <w:spacing w:after="120"/>
    </w:pPr>
    <w:rPr>
      <w:rFonts w:ascii="Aptos" w:eastAsia="Calibri" w:hAnsi="Aptos" w:cs="Times New Roman"/>
      <w:i/>
      <w:color w:val="C00000"/>
      <w:sz w:val="44"/>
      <w:vertAlign w:val="superscript"/>
    </w:rPr>
  </w:style>
  <w:style w:type="character" w:customStyle="1" w:styleId="TableFooterChar">
    <w:name w:val="Table Footer Char"/>
    <w:basedOn w:val="BodyText2Char"/>
    <w:link w:val="TableFooter"/>
    <w:rsid w:val="005D0B48"/>
    <w:rPr>
      <w:rFonts w:ascii="Aptos" w:eastAsia="Calibri" w:hAnsi="Aptos" w:cs="Times New Roman"/>
      <w:vertAlign w:val="superscript"/>
      <w:lang w:bidi="en-US"/>
    </w:rPr>
  </w:style>
  <w:style w:type="character" w:customStyle="1" w:styleId="NoteChar">
    <w:name w:val="Note Char"/>
    <w:basedOn w:val="TableFooterChar"/>
    <w:link w:val="Note"/>
    <w:rsid w:val="005D0B48"/>
    <w:rPr>
      <w:rFonts w:ascii="Aptos" w:eastAsia="Calibri" w:hAnsi="Aptos" w:cs="Times New Roman"/>
      <w:i/>
      <w:color w:val="C00000"/>
      <w:sz w:val="44"/>
      <w:vertAlign w:val="superscript"/>
      <w:lang w:bidi="en-US"/>
    </w:rPr>
  </w:style>
  <w:style w:type="paragraph" w:customStyle="1" w:styleId="Note0">
    <w:name w:val="**Note"/>
    <w:basedOn w:val="Normal"/>
    <w:link w:val="NoteChar0"/>
    <w:qFormat/>
    <w:rsid w:val="00900FCB"/>
    <w:rPr>
      <w:i/>
      <w:color w:val="C00000"/>
      <w:sz w:val="20"/>
    </w:rPr>
  </w:style>
  <w:style w:type="character" w:customStyle="1" w:styleId="NoteChar0">
    <w:name w:val="**Note Char"/>
    <w:basedOn w:val="DefaultParagraphFont"/>
    <w:link w:val="Note0"/>
    <w:rsid w:val="00900FCB"/>
    <w:rPr>
      <w:rFonts w:ascii="Aptos" w:hAnsi="Aptos"/>
      <w:i/>
      <w:color w:val="C00000"/>
      <w:sz w:val="20"/>
    </w:rPr>
  </w:style>
  <w:style w:type="paragraph" w:customStyle="1" w:styleId="Source">
    <w:name w:val="*Source"/>
    <w:link w:val="SourceChar"/>
    <w:qFormat/>
    <w:rsid w:val="005D0B48"/>
    <w:rPr>
      <w:rFonts w:ascii="Aptos" w:hAnsi="Aptos"/>
      <w:i/>
      <w:color w:val="3B3838" w:themeColor="background2" w:themeShade="40"/>
      <w:sz w:val="18"/>
    </w:rPr>
  </w:style>
  <w:style w:type="character" w:customStyle="1" w:styleId="SourceChar">
    <w:name w:val="*Source Char"/>
    <w:basedOn w:val="DefaultParagraphFont"/>
    <w:link w:val="Source"/>
    <w:rsid w:val="005D0B48"/>
    <w:rPr>
      <w:rFonts w:ascii="Aptos" w:hAnsi="Aptos"/>
      <w:i/>
      <w:color w:val="3B3838" w:themeColor="background2" w:themeShade="40"/>
      <w:sz w:val="18"/>
    </w:rPr>
  </w:style>
  <w:style w:type="character" w:customStyle="1" w:styleId="Heading6Char">
    <w:name w:val="Heading 6 Char"/>
    <w:basedOn w:val="DefaultParagraphFont"/>
    <w:link w:val="Heading6"/>
    <w:uiPriority w:val="9"/>
    <w:rsid w:val="005D0B48"/>
    <w:rPr>
      <w:rFonts w:ascii="Aptos" w:eastAsiaTheme="majorEastAsia" w:hAnsi="Aptos" w:cstheme="majorBidi"/>
      <w:color w:val="1F3763" w:themeColor="accent1" w:themeShade="7F"/>
    </w:rPr>
  </w:style>
  <w:style w:type="numbering" w:customStyle="1" w:styleId="DMIDGuidelinesListStyle">
    <w:name w:val="DMID Guidelines List Style"/>
    <w:uiPriority w:val="99"/>
    <w:rsid w:val="00766D31"/>
    <w:pPr>
      <w:numPr>
        <w:numId w:val="130"/>
      </w:numPr>
    </w:pPr>
  </w:style>
  <w:style w:type="paragraph" w:customStyle="1" w:styleId="ListHeader">
    <w:name w:val="List Header"/>
    <w:link w:val="ListHeaderChar"/>
    <w:qFormat/>
    <w:rsid w:val="00766D31"/>
    <w:pPr>
      <w:numPr>
        <w:numId w:val="104"/>
      </w:numPr>
      <w:spacing w:before="240" w:after="240"/>
    </w:pPr>
    <w:rPr>
      <w:rFonts w:ascii="Aptos Display" w:eastAsia="Times New Roman" w:hAnsi="Aptos Display" w:cs="Times New Roman"/>
      <w:b/>
      <w:bCs/>
      <w:color w:val="03569B"/>
      <w:sz w:val="36"/>
      <w:szCs w:val="28"/>
      <w:lang w:bidi="en-US"/>
    </w:rPr>
  </w:style>
  <w:style w:type="character" w:customStyle="1" w:styleId="ListHeaderChar">
    <w:name w:val="List Header Char"/>
    <w:basedOn w:val="DefaultParagraphFont"/>
    <w:link w:val="ListHeader"/>
    <w:rsid w:val="00766D31"/>
    <w:rPr>
      <w:rFonts w:ascii="Aptos Display" w:eastAsia="Times New Roman" w:hAnsi="Aptos Display" w:cs="Times New Roman"/>
      <w:b/>
      <w:bCs/>
      <w:color w:val="03569B"/>
      <w:sz w:val="36"/>
      <w:szCs w:val="28"/>
      <w:lang w:bidi="en-US"/>
    </w:rPr>
  </w:style>
  <w:style w:type="paragraph" w:customStyle="1" w:styleId="Heading3b">
    <w:name w:val="Heading3.b"/>
    <w:link w:val="Heading3bChar"/>
    <w:qFormat/>
    <w:rsid w:val="00766D31"/>
    <w:pPr>
      <w:numPr>
        <w:ilvl w:val="1"/>
        <w:numId w:val="104"/>
      </w:numPr>
      <w:spacing w:before="160"/>
    </w:pPr>
    <w:rPr>
      <w:rFonts w:ascii="Aptos" w:hAnsi="Aptos"/>
      <w:b/>
      <w:color w:val="3B3838" w:themeColor="background2" w:themeShade="40"/>
    </w:rPr>
  </w:style>
  <w:style w:type="character" w:customStyle="1" w:styleId="Heading3bChar">
    <w:name w:val="Heading3.b Char"/>
    <w:basedOn w:val="DefaultParagraphFont"/>
    <w:link w:val="Heading3b"/>
    <w:rsid w:val="00067D66"/>
    <w:rPr>
      <w:rFonts w:ascii="Aptos" w:hAnsi="Aptos"/>
      <w:b/>
      <w:color w:val="3B3838" w:themeColor="background2" w:themeShade="40"/>
    </w:rPr>
  </w:style>
  <w:style w:type="paragraph" w:customStyle="1" w:styleId="ListStyle3">
    <w:name w:val="List Style 3"/>
    <w:next w:val="Normal"/>
    <w:link w:val="ListStyle3Char"/>
    <w:qFormat/>
    <w:rsid w:val="00766D31"/>
    <w:pPr>
      <w:numPr>
        <w:ilvl w:val="2"/>
        <w:numId w:val="104"/>
      </w:numPr>
      <w:spacing w:before="120"/>
    </w:pPr>
    <w:rPr>
      <w:rFonts w:ascii="Aptos" w:hAnsi="Aptos"/>
      <w:color w:val="03569B"/>
    </w:rPr>
  </w:style>
  <w:style w:type="character" w:customStyle="1" w:styleId="ListStyle3Char">
    <w:name w:val="List Style 3 Char"/>
    <w:basedOn w:val="DefaultParagraphFont"/>
    <w:link w:val="ListStyle3"/>
    <w:rsid w:val="00067D66"/>
    <w:rPr>
      <w:rFonts w:ascii="Aptos" w:hAnsi="Aptos"/>
      <w:color w:val="03569B"/>
    </w:rPr>
  </w:style>
  <w:style w:type="numbering" w:customStyle="1" w:styleId="BulletListStyle">
    <w:name w:val="Bullet List Style"/>
    <w:uiPriority w:val="99"/>
    <w:rsid w:val="006D078B"/>
    <w:pPr>
      <w:numPr>
        <w:numId w:val="1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MIDProductSupportTeam@niaid.nih.gov" TargetMode="External"/><Relationship Id="rId18" Type="http://schemas.openxmlformats.org/officeDocument/2006/relationships/hyperlink" Target="https://www.ecfr.gov/current/title-21/chapter-I/subchapter-A/part-50?toc=1"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uscode.house.gov/view.xhtml?req=granuleid:USC-prelim-title21-section353a&amp;num=0&amp;edition=prelim" TargetMode="External"/><Relationship Id="rId7" Type="http://schemas.openxmlformats.org/officeDocument/2006/relationships/settings" Target="settings.xml"/><Relationship Id="rId12" Type="http://schemas.openxmlformats.org/officeDocument/2006/relationships/hyperlink" Target="https://doi.org/10.31003/USPNF_M2773_06_01" TargetMode="External"/><Relationship Id="rId17" Type="http://schemas.openxmlformats.org/officeDocument/2006/relationships/hyperlink" Target="mailto:DMIDProductSupportTeam@niaid.nih.gov" TargetMode="Externa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mailto:DMIDProductSupportTeam@niaid.nih.gov" TargetMode="External"/><Relationship Id="rId20" Type="http://schemas.openxmlformats.org/officeDocument/2006/relationships/hyperlink" Target="https://www.ecfr.gov/current/title-45/subtitle-A/subchapter-A/part-46?toc=1"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dmidcroms.com/Shared%20Documents/DMID%20Investigational%20Product%20Label%20Requirements.pdf" TargetMode="External"/><Relationship Id="rId23" Type="http://schemas.openxmlformats.org/officeDocument/2006/relationships/hyperlink" Target="https://www.fda.gov/regulatory-information/search-fda-guidance-documents/standardization-data-and-documentation-practices-product-tracing-guidance-industry"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cfr.gov/current/title-21/chapter-I/subchapter-D/part-312?toc=1" TargetMode="External"/><Relationship Id="rId31"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der-it.org" TargetMode="External"/><Relationship Id="rId22" Type="http://schemas.openxmlformats.org/officeDocument/2006/relationships/hyperlink" Target="https://www.dmidcroms.com/_layouts/15/WopiFrame.aspx?sourcedoc=%7bd8f8f9dc-9518-4114-9057-c34efd890a7a%7d&amp;action=default" TargetMode="External"/><Relationship Id="rId27" Type="http://schemas.microsoft.com/office/2018/08/relationships/commentsExtensible" Target="commentsExtensible.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D3C39BB3984247955B00CE89E0DBA0" ma:contentTypeVersion="7" ma:contentTypeDescription="Create a new document." ma:contentTypeScope="" ma:versionID="93a0e80193895b63b31378d811567db7">
  <xsd:schema xmlns:xsd="http://www.w3.org/2001/XMLSchema" xmlns:xs="http://www.w3.org/2001/XMLSchema" xmlns:p="http://schemas.microsoft.com/office/2006/metadata/properties" xmlns:ns2="4b042150-3872-4fa9-b4a0-af24ab4b02e1" xmlns:ns3="ae34c416-5e44-4f01-b314-ce16f9ad1aae" targetNamespace="http://schemas.microsoft.com/office/2006/metadata/properties" ma:root="true" ma:fieldsID="38f42979f90fb0c91c264d733f09652e" ns2:_="" ns3:_="">
    <xsd:import namespace="4b042150-3872-4fa9-b4a0-af24ab4b02e1"/>
    <xsd:import namespace="ae34c416-5e44-4f01-b314-ce16f9ad1aae"/>
    <xsd:element name="properties">
      <xsd:complexType>
        <xsd:sequence>
          <xsd:element name="documentManagement">
            <xsd:complexType>
              <xsd:all>
                <xsd:element ref="ns2:DocumentTitle" minOccurs="0"/>
                <xsd:element ref="ns2:_dlc_DocId" minOccurs="0"/>
                <xsd:element ref="ns2:_dlc_DocIdUrl" minOccurs="0"/>
                <xsd:element ref="ns2:_dlc_DocIdPersistId" minOccurs="0"/>
                <xsd:element ref="ns2:SharedWithUsers" minOccurs="0"/>
                <xsd:element ref="ns3:DocumentCategory" minOccurs="0"/>
                <xsd:element ref="ns3:DocVersion" minOccurs="0"/>
                <xsd:element ref="ns3:DocDate" minOccurs="0"/>
                <xsd:element ref="ns3:siteLocation" minOccurs="0"/>
                <xsd:element ref="ns2:_x007b_75366e4f-0843-47f5-aa10-e8f7f54c8a75_x007d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42150-3872-4fa9-b4a0-af24ab4b02e1" elementFormDefault="qualified">
    <xsd:import namespace="http://schemas.microsoft.com/office/2006/documentManagement/types"/>
    <xsd:import namespace="http://schemas.microsoft.com/office/infopath/2007/PartnerControls"/>
    <xsd:element name="DocumentTitle" ma:index="8" nillable="true" ma:displayName="DocumentTitle" ma:internalName="DocumentTitle">
      <xsd:simpleType>
        <xsd:restriction base="dms:Note"/>
      </xsd:simple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7b_75366e4f-0843-47f5-aa10-e8f7f54c8a75_x007d_" ma:index="17" nillable="true" ma:displayName="Doctype" ma:internalName="_x007b_75366e4f_x002d_0843_x002d_47f5_x002d_aa10_x002d_e8f7f54c8a75_x007d_"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34c416-5e44-4f01-b314-ce16f9ad1aae" elementFormDefault="qualified">
    <xsd:import namespace="http://schemas.microsoft.com/office/2006/documentManagement/types"/>
    <xsd:import namespace="http://schemas.microsoft.com/office/infopath/2007/PartnerControls"/>
    <xsd:element name="DocumentCategory" ma:index="13" nillable="true" ma:displayName="DocumentCategory" ma:internalName="DocumentCategory">
      <xsd:simpleType>
        <xsd:restriction base="dms:Text">
          <xsd:maxLength value="255"/>
        </xsd:restriction>
      </xsd:simpleType>
    </xsd:element>
    <xsd:element name="DocVersion" ma:index="14" nillable="true" ma:displayName="DocVersion" ma:internalName="DocVersion">
      <xsd:simpleType>
        <xsd:restriction base="dms:Text">
          <xsd:maxLength value="255"/>
        </xsd:restriction>
      </xsd:simpleType>
    </xsd:element>
    <xsd:element name="DocDate" ma:index="15" nillable="true" ma:displayName="DocDate" ma:internalName="DocDate">
      <xsd:simpleType>
        <xsd:restriction base="dms:Text">
          <xsd:maxLength value="255"/>
        </xsd:restriction>
      </xsd:simpleType>
    </xsd:element>
    <xsd:element name="siteLocation" ma:index="16" nillable="true" ma:displayName="siteLocation" ma:internalName="siteLoca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Category xmlns="ae34c416-5e44-4f01-b314-ce16f9ad1aae">Guidelines</DocumentCategory>
    <DocDate xmlns="ae34c416-5e44-4f01-b314-ce16f9ad1aae">25 February 2026</DocDate>
    <DocVersion xmlns="ae34c416-5e44-4f01-b314-ce16f9ad1aae">2.0, Dated 25 February 2026</DocVersion>
    <DocumentTitle xmlns="4b042150-3872-4fa9-b4a0-af24ab4b02e1">&lt;div class="ExternalClass6EFCE022CAA14D16BA3A56FA22FB9A39"&gt;&lt;p&gt;​DMID Guidelines for Clinical Investigational Product Management​&lt;br&gt;&lt;/p&gt;&lt;/div&gt;</DocumentTitle>
    <siteLocation xmlns="ae34c416-5e44-4f01-b314-ce16f9ad1aae"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3AD23D-E0BF-4E8C-A493-EF1E0FE28F9C}">
  <ds:schemaRefs>
    <ds:schemaRef ds:uri="http://schemas.openxmlformats.org/officeDocument/2006/bibliography"/>
  </ds:schemaRefs>
</ds:datastoreItem>
</file>

<file path=customXml/itemProps2.xml><?xml version="1.0" encoding="utf-8"?>
<ds:datastoreItem xmlns:ds="http://schemas.openxmlformats.org/officeDocument/2006/customXml" ds:itemID="{BDD646F5-C9B9-4F3B-8F6C-1D82CE941A2B}"/>
</file>

<file path=customXml/itemProps3.xml><?xml version="1.0" encoding="utf-8"?>
<ds:datastoreItem xmlns:ds="http://schemas.openxmlformats.org/officeDocument/2006/customXml" ds:itemID="{10C6C54F-5C62-437F-9D9B-D6A244F9B040}">
  <ds:schemaRefs>
    <ds:schemaRef ds:uri="http://schemas.microsoft.com/sharepoint/v3/contenttype/forms"/>
  </ds:schemaRefs>
</ds:datastoreItem>
</file>

<file path=customXml/itemProps4.xml><?xml version="1.0" encoding="utf-8"?>
<ds:datastoreItem xmlns:ds="http://schemas.openxmlformats.org/officeDocument/2006/customXml" ds:itemID="{93A3E9C6-3238-4725-9327-FF8803F7E74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15E74D3-3CA0-41CA-BCA2-92EDB44EE70E}"/>
</file>

<file path=docProps/app.xml><?xml version="1.0" encoding="utf-8"?>
<Properties xmlns="http://schemas.openxmlformats.org/officeDocument/2006/extended-properties" xmlns:vt="http://schemas.openxmlformats.org/officeDocument/2006/docPropsVTypes">
  <Template>Normal</Template>
  <TotalTime>9</TotalTime>
  <Pages>37</Pages>
  <Words>12813</Words>
  <Characters>78036</Characters>
  <Application>Microsoft Office Word</Application>
  <DocSecurity>0</DocSecurity>
  <Lines>1445</Lines>
  <Paragraphs>796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DMID Guidelines for Clinical Investigational Product Management</dc:title>
  <dc:subject/>
  <dc:creator>Curtin, Daniel</dc:creator>
  <cp:keywords/>
  <dc:description/>
  <cp:lastModifiedBy>Curtin, Daniel</cp:lastModifiedBy>
  <cp:revision>2</cp:revision>
  <dcterms:created xsi:type="dcterms:W3CDTF">2026-03-23T17:27:00Z</dcterms:created>
  <dcterms:modified xsi:type="dcterms:W3CDTF">2026-03-23T17:27:00Z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0x010100F7D3C39BB3984247955B00CE89E0DBA0</vt:lpwstr>
  </property>
</Properties>
</file>